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lineRule="auto" w:line="360" w:before="200" w:after="120"/>
        <w:jc w:val="start"/>
        <w:rPr>
          <w:rFonts w:ascii="Times new roman" w:hAnsi="Times new roman"/>
        </w:rPr>
      </w:pPr>
      <w:bookmarkStart w:id="0" w:name="background"/>
      <w:bookmarkEnd w:id="0"/>
      <w:r>
        <w:rPr>
          <w:rFonts w:ascii="Times new roman" w:hAnsi="Times new roman"/>
        </w:rPr>
        <w:t>Background</w:t>
      </w:r>
    </w:p>
    <w:p>
      <w:pPr>
        <w:pStyle w:val="BodyText"/>
        <w:bidi w:val="0"/>
        <w:spacing w:lineRule="auto" w:line="360"/>
        <w:jc w:val="start"/>
        <w:rPr>
          <w:rFonts w:ascii="Times new roman" w:hAnsi="Times new roman"/>
        </w:rPr>
      </w:pPr>
      <w:r>
        <w:rPr>
          <w:rFonts w:ascii="Times new roman" w:hAnsi="Times new roman"/>
        </w:rPr>
        <w:t>Cybersecurity in Tanzania, particularly in the Iringa region, grapples with rapid digital growth amid limited resources and fragmented tools for web and network protection. Internet penetration reached 229% regionally by 2024, fueling cybercrimes like fraud, phishing, and data breaches in public institutions and police operations, yet unified frameworks remain underdeveloped. Iringa-specific challenges include investigative delays at local police due to siloed tools, low digital literacy in southern highlands, and hybrid threats from mobile-heavy networks. This literature review synthesizes chronological studies on unified cybersecurity tools, adapting global concepts like AI-driven platforms to Tanzania's context under the 2022–2027 Government Cyber Security Strategy, which prioritizes resilient ICT ecosystems nationwide.</w:t>
      </w:r>
      <w:hyperlink r:id="rId2" w:tgtFrame="_blank">
        <w:r>
          <w:rPr>
            <w:rStyle w:val="Hyperlink"/>
            <w:rFonts w:ascii="Times new roman" w:hAnsi="Times new roman"/>
          </w:rPr>
          <w:t>utumishi+2</w:t>
        </w:r>
      </w:hyperlink>
      <w:r>
        <w:rPr>
          <w:rFonts w:ascii="Times new roman" w:hAnsi="Times new roman"/>
        </w:rPr>
        <w:t>​</w:t>
      </w:r>
    </w:p>
    <w:p>
      <w:pPr>
        <w:pStyle w:val="Heading2"/>
        <w:bidi w:val="0"/>
        <w:spacing w:lineRule="auto" w:line="360"/>
        <w:ind w:hanging="0" w:start="0" w:end="0"/>
        <w:jc w:val="start"/>
        <w:rPr>
          <w:rFonts w:ascii="Times new roman" w:hAnsi="Times new roman"/>
        </w:rPr>
      </w:pPr>
      <w:bookmarkStart w:id="1" w:name="introduction"/>
      <w:bookmarkEnd w:id="1"/>
      <w:r>
        <w:rPr>
          <w:rFonts w:ascii="Times new roman" w:hAnsi="Times new roman"/>
        </w:rPr>
        <w:t>Introduction</w:t>
      </w:r>
    </w:p>
    <w:p>
      <w:pPr>
        <w:pStyle w:val="BodyText"/>
        <w:bidi w:val="0"/>
        <w:spacing w:lineRule="auto" w:line="360"/>
        <w:jc w:val="start"/>
        <w:rPr>
          <w:rFonts w:ascii="Times new roman" w:hAnsi="Times new roman"/>
        </w:rPr>
      </w:pPr>
      <w:r>
        <w:rPr>
          <w:rFonts w:ascii="Times new roman" w:hAnsi="Times new roman"/>
        </w:rPr>
        <w:t>Literature on unified cybersecurity frameworks for web and network security in Tanzania evolves from early legal analyses of cybercrime detection to recent calls for integrated AI platforms addressing Iringa's resource constraints. Key themes include tool fragmentation causing 70% prosecution delays, the need for single-pane visibility in hybrid environments, and alignment with national strategies for SOCs and vulnerability scanning. This review examines at least four studies in chronological order, drawn from Google Scholar and Tanzanian repositories, highlighting progression toward unified tools like WAF, NDR, and ML anomaly detection tailored for regions like Iringa. Gaps persist in local implementations, informing the need for regionally adaptive research.</w:t>
      </w:r>
      <w:hyperlink r:id="rId3" w:tgtFrame="_blank">
        <w:r>
          <w:rPr>
            <w:rStyle w:val="Hyperlink"/>
            <w:rFonts w:ascii="Times new roman" w:hAnsi="Times new roman"/>
          </w:rPr>
          <w:t>academia+3</w:t>
        </w:r>
      </w:hyperlink>
      <w:r>
        <w:rPr>
          <w:rFonts w:ascii="Times new roman" w:hAnsi="Times new roman"/>
        </w:rPr>
        <w:t>​</w:t>
      </w:r>
      <w:bookmarkStart w:id="2" w:name="body"/>
      <w:bookmarkEnd w:id="2"/>
    </w:p>
    <w:p>
      <w:pPr>
        <w:pStyle w:val="Heading2"/>
        <w:bidi w:val="0"/>
        <w:spacing w:lineRule="auto" w:line="360"/>
        <w:jc w:val="start"/>
        <w:rPr>
          <w:rFonts w:ascii="Times new roman" w:hAnsi="Times new roman"/>
        </w:rPr>
      </w:pPr>
      <w:r>
        <w:rPr>
          <w:rFonts w:ascii="Times new roman" w:hAnsi="Times new roman"/>
        </w:rPr>
        <w:t>Early Legal Frameworks (2012)</w:t>
      </w:r>
    </w:p>
    <w:p>
      <w:pPr>
        <w:pStyle w:val="BodyText"/>
        <w:bidi w:val="0"/>
        <w:spacing w:lineRule="auto" w:line="360"/>
        <w:jc w:val="start"/>
        <w:rPr>
          <w:rFonts w:ascii="Times new roman" w:hAnsi="Times new roman"/>
        </w:rPr>
      </w:pPr>
      <w:r>
        <w:rPr>
          <w:rFonts w:ascii="Times new roman" w:hAnsi="Times new roman"/>
        </w:rPr>
        <w:t>Proceedings from the Cyber Security Mini-Conference at the Institute of Finance Management outlined initial cybersecurity challenges in Tanzania, emphasizing fragmented tools for web-based threats like phishing amid nascent internet adoption. Participants identified silos in network monitoring and legal enforcement, proposing basic unification through national standards pre-dating the Cybercrimes Act 2015, relevant to Iringa's early police struggles with evidence collection. These discussions laid groundwork for holistic approaches, noting weak infrastructure in rural areas like Iringa as barriers to integrated web/network defenses.</w:t>
      </w:r>
      <w:hyperlink r:id="rId4" w:tgtFrame="_blank">
        <w:r>
          <w:rPr>
            <w:rStyle w:val="Hyperlink"/>
            <w:rFonts w:ascii="Times new roman" w:hAnsi="Times new roman"/>
          </w:rPr>
          <w:t>ebooks.rucu+1</w:t>
        </w:r>
      </w:hyperlink>
      <w:r>
        <w:rPr>
          <w:rFonts w:ascii="Times new roman" w:hAnsi="Times new roman"/>
        </w:rPr>
        <w:t>​</w:t>
      </w:r>
    </w:p>
    <w:p>
      <w:pPr>
        <w:pStyle w:val="Heading2"/>
        <w:bidi w:val="0"/>
        <w:spacing w:lineRule="auto" w:line="360"/>
        <w:jc w:val="start"/>
        <w:rPr>
          <w:rFonts w:ascii="Times new roman" w:hAnsi="Times new roman"/>
        </w:rPr>
      </w:pPr>
      <w:r>
        <w:rPr>
          <w:rFonts w:ascii="Times new roman" w:hAnsi="Times new roman"/>
        </w:rPr>
        <w:t>Cybercrime Institutional Analysis (2012)</w:t>
      </w:r>
    </w:p>
    <w:p>
      <w:pPr>
        <w:pStyle w:val="BodyText"/>
        <w:bidi w:val="0"/>
        <w:spacing w:lineRule="auto" w:line="360"/>
        <w:jc w:val="start"/>
        <w:rPr>
          <w:rFonts w:ascii="Times new roman" w:hAnsi="Times new roman"/>
        </w:rPr>
      </w:pPr>
      <w:r>
        <w:rPr>
          <w:rFonts w:ascii="Times new roman" w:hAnsi="Times new roman"/>
        </w:rPr>
        <w:t>Rweyongeza's University of Dar es Salaam thesis critically assessed Tanzania's legal and institutional responses to cybercrimes, revealing investigators' reliance on traditional statutes ill-suited for web fraud and network intrusions, with transnational issues exacerbating delays. Focused on emerging threats like identity theft and cyberstalking, it highlighted the absence of unified forensic tools, forcing "shoehorning" into outdated laws—a problem echoed in Iringa Police cases. Recommendations urged cyber-specific legislation and trained personnel, influencing later strategies but underscoring persistent tool gaps in regional enforcement.</w:t>
      </w:r>
      <w:hyperlink r:id="rId5" w:tgtFrame="_blank">
        <w:r>
          <w:rPr>
            <w:rStyle w:val="Hyperlink"/>
            <w:rFonts w:ascii="Times new roman" w:hAnsi="Times new roman"/>
          </w:rPr>
          <w:t>libraryrepository.udsm+2</w:t>
        </w:r>
      </w:hyperlink>
      <w:r>
        <w:rPr>
          <w:rFonts w:ascii="Times new roman" w:hAnsi="Times new roman"/>
        </w:rPr>
        <w:t>​</w:t>
      </w:r>
    </w:p>
    <w:p>
      <w:pPr>
        <w:pStyle w:val="Heading2"/>
        <w:bidi w:val="0"/>
        <w:spacing w:lineRule="auto" w:line="360"/>
        <w:jc w:val="start"/>
        <w:rPr>
          <w:rFonts w:ascii="Times new roman" w:hAnsi="Times new roman"/>
        </w:rPr>
      </w:pPr>
      <w:r>
        <w:rPr>
          <w:rFonts w:ascii="Times new roman" w:hAnsi="Times new roman"/>
        </w:rPr>
        <w:t>Higher Education Threats (2019)</w:t>
      </w:r>
    </w:p>
    <w:p>
      <w:pPr>
        <w:pStyle w:val="BodyText"/>
        <w:bidi w:val="0"/>
        <w:spacing w:lineRule="auto" w:line="360"/>
        <w:jc w:val="start"/>
        <w:rPr>
          <w:rFonts w:ascii="Times new roman" w:hAnsi="Times new roman"/>
        </w:rPr>
      </w:pPr>
      <w:r>
        <w:rPr>
          <w:rFonts w:ascii="Times new roman" w:hAnsi="Times new roman"/>
        </w:rPr>
        <w:t>Solva's study on University of Arusha and Tumaini University Makumira (near Iringa) evaluated cybersecurity threats, finding poor strategy adherence and weak infrastructure enabling web vulnerabilities like unpatched systems. Countermeasures included firewall traffic monitoring and network segmentation, yet fragmentation persisted, with only basic vulnerability scanning available—mirroring Iringa public sector issues. The proposed threat framework advocated unified monitoring for critical assets, using SPSS analysis to link employee awareness gaps to high-risk exposures in educational networks.</w:t>
      </w:r>
      <w:hyperlink r:id="rId6" w:tgtFrame="_blank">
        <w:r>
          <w:rPr>
            <w:rStyle w:val="Hyperlink"/>
            <w:rFonts w:ascii="Times new roman" w:hAnsi="Times new roman"/>
          </w:rPr>
          <w:t>academia</w:t>
        </w:r>
      </w:hyperlink>
      <w:r>
        <w:rPr>
          <w:rFonts w:ascii="Times new roman" w:hAnsi="Times new roman"/>
        </w:rPr>
        <w:t>​</w:t>
      </w:r>
    </w:p>
    <w:p>
      <w:pPr>
        <w:pStyle w:val="Heading2"/>
        <w:bidi w:val="0"/>
        <w:spacing w:lineRule="auto" w:line="360"/>
        <w:jc w:val="start"/>
        <w:rPr>
          <w:rFonts w:ascii="Times new roman" w:hAnsi="Times new roman"/>
        </w:rPr>
      </w:pPr>
      <w:r>
        <w:rPr>
          <w:rFonts w:ascii="Times new roman" w:hAnsi="Times new roman"/>
        </w:rPr>
        <w:t>Police Prosecution Challenges (Recent, ~2023)</w:t>
      </w:r>
    </w:p>
    <w:p>
      <w:pPr>
        <w:pStyle w:val="BodyText"/>
        <w:bidi w:val="0"/>
        <w:spacing w:lineRule="auto" w:line="360"/>
        <w:jc w:val="start"/>
        <w:rPr>
          <w:rFonts w:ascii="Times new roman" w:hAnsi="Times new roman"/>
        </w:rPr>
      </w:pPr>
      <w:r>
        <w:rPr>
          <w:rFonts w:ascii="Times new roman" w:hAnsi="Times new roman"/>
        </w:rPr>
        <w:t>Ndimbos' Ruaha Catholic University thesis on Iringa Police cybercrime prevention analyzed legal frameworks under the Cybercrimes Act, identifying 70% case delays from disjointed web traffic and network logging tools. Surveys at Iringa Cybercrime Department revealed manual silos hindering real-time correlation, recommending AI-enhanced unified platforms for hybrid threats like XSS in e-services. It stratified risks by maturity levels, aligning with national R&amp;D goals for GSOC and vulnerability assessments in resource-limited regions.</w:t>
      </w:r>
      <w:hyperlink r:id="rId7" w:tgtFrame="_blank">
        <w:r>
          <w:rPr>
            <w:rStyle w:val="Hyperlink"/>
            <w:rFonts w:ascii="Times new roman" w:hAnsi="Times new roman"/>
          </w:rPr>
          <w:t>utumishi+1</w:t>
        </w:r>
      </w:hyperlink>
      <w:r>
        <w:rPr>
          <w:rFonts w:ascii="Times new roman" w:hAnsi="Times new roman"/>
        </w:rPr>
        <w:t>​</w:t>
      </w:r>
    </w:p>
    <w:p>
      <w:pPr>
        <w:pStyle w:val="Heading2"/>
        <w:bidi w:val="0"/>
        <w:spacing w:lineRule="auto" w:line="360"/>
        <w:jc w:val="start"/>
        <w:rPr>
          <w:rFonts w:ascii="Times new roman" w:hAnsi="Times new roman"/>
        </w:rPr>
      </w:pPr>
      <w:r>
        <w:rPr>
          <w:rFonts w:ascii="Times new roman" w:hAnsi="Times new roman"/>
        </w:rPr>
        <w:t>National Strategy Integration (2022)</w:t>
      </w:r>
    </w:p>
    <w:p>
      <w:pPr>
        <w:pStyle w:val="BodyText"/>
        <w:bidi w:val="0"/>
        <w:spacing w:lineRule="auto" w:line="360"/>
        <w:jc w:val="start"/>
        <w:rPr>
          <w:rFonts w:ascii="Times new roman" w:hAnsi="Times new roman"/>
        </w:rPr>
      </w:pPr>
      <w:r>
        <w:rPr>
          <w:rFonts w:ascii="Times new roman" w:hAnsi="Times new roman"/>
        </w:rPr>
        <w:t>Tanzania's Government Cyber Security Strategy 2022–2027 provides a unified roadmap with five objectives: R&amp;D improvement, ICT protection, resilience strengthening, skills enhancement, and incident management—directly applicable to Iringa's e-Government needs. It mandates technical assistance to 422 institutions, including cloud hosting and DDoS mitigation, addressing web/network silos via focal personnel and legal reforms. Progress like GDC establishment supports hybrid tools, though Iringa studies note implementation lags in police adoption.</w:t>
      </w:r>
      <w:hyperlink r:id="rId8" w:tgtFrame="_blank">
        <w:r>
          <w:rPr>
            <w:rStyle w:val="Hyperlink"/>
            <w:rFonts w:ascii="Times new roman" w:hAnsi="Times new roman"/>
          </w:rPr>
          <w:t>ebooks.rucu+1</w:t>
        </w:r>
      </w:hyperlink>
      <w:r>
        <w:rPr>
          <w:rFonts w:ascii="Times new roman" w:hAnsi="Times new roman"/>
        </w:rPr>
        <w:t>​</w:t>
      </w:r>
    </w:p>
    <w:p>
      <w:pPr>
        <w:pStyle w:val="Heading2"/>
        <w:bidi w:val="0"/>
        <w:spacing w:lineRule="auto" w:line="360"/>
        <w:jc w:val="start"/>
        <w:rPr>
          <w:rFonts w:ascii="Times new roman" w:hAnsi="Times new roman"/>
        </w:rPr>
      </w:pPr>
      <w:r>
        <w:rPr>
          <w:rFonts w:ascii="Times new roman" w:hAnsi="Times new roman"/>
        </w:rPr>
        <w:t>Local Platform Deployments (2024–2025)</w:t>
      </w:r>
    </w:p>
    <w:p>
      <w:pPr>
        <w:pStyle w:val="BodyText"/>
        <w:bidi w:val="0"/>
        <w:spacing w:lineRule="auto" w:line="360"/>
        <w:jc w:val="start"/>
        <w:rPr>
          <w:rFonts w:ascii="Times new roman" w:hAnsi="Times new roman"/>
        </w:rPr>
      </w:pPr>
      <w:r>
        <w:rPr>
          <w:rFonts w:ascii="Times new roman" w:hAnsi="Times new roman"/>
        </w:rPr>
        <w:t>Mahadhi's IAA assessment on cybersecurity technology contributions evaluated tools like Flashnet's struXture in Tanzania, unifying WAF, DDoS protection, and AI classification for web/app security in hybrid setups. Tailored for PCI-DSS compliance, it offers single-pane visibility, countering Iringa threats like API exploits per police data. Recent adoptions fill gaps in fragmented systems, with ML for anomaly detection enhancing regional resilience.</w:t>
      </w:r>
      <w:hyperlink r:id="rId9" w:tgtFrame="_blank">
        <w:r>
          <w:rPr>
            <w:rStyle w:val="Hyperlink"/>
            <w:rFonts w:ascii="Times new roman" w:hAnsi="Times new roman"/>
          </w:rPr>
          <w:t>repository.iaa+3</w:t>
        </w:r>
      </w:hyperlink>
      <w:r>
        <w:rPr>
          <w:rFonts w:ascii="Times new roman" w:hAnsi="Times new roman"/>
        </w:rPr>
        <w:t>​</w:t>
      </w:r>
    </w:p>
    <w:tbl>
      <w:tblPr>
        <w:tblW w:w="9972" w:type="dxa"/>
        <w:jc w:val="start"/>
        <w:tblInd w:w="0" w:type="dxa"/>
        <w:tblLayout w:type="fixed"/>
        <w:tblCellMar>
          <w:top w:w="28" w:type="dxa"/>
          <w:start w:w="28" w:type="dxa"/>
          <w:bottom w:w="28" w:type="dxa"/>
          <w:end w:w="28" w:type="dxa"/>
        </w:tblCellMar>
      </w:tblPr>
      <w:tblGrid>
        <w:gridCol w:w="3537"/>
        <w:gridCol w:w="817"/>
        <w:gridCol w:w="2027"/>
        <w:gridCol w:w="1711"/>
        <w:gridCol w:w="1880"/>
      </w:tblGrid>
      <w:tr>
        <w:trPr>
          <w:tblHeader w:val="true"/>
        </w:trPr>
        <w:tc>
          <w:tcPr>
            <w:tcW w:w="3537" w:type="dxa"/>
            <w:tcBorders/>
            <w:vAlign w:val="center"/>
          </w:tcPr>
          <w:p>
            <w:pPr>
              <w:pStyle w:val="TableHeading"/>
              <w:suppressLineNumbers/>
              <w:bidi w:val="0"/>
              <w:jc w:val="center"/>
              <w:rPr/>
            </w:pPr>
            <w:r>
              <w:rPr/>
              <w:t>Study</w:t>
            </w:r>
          </w:p>
        </w:tc>
        <w:tc>
          <w:tcPr>
            <w:tcW w:w="817" w:type="dxa"/>
            <w:tcBorders/>
            <w:vAlign w:val="center"/>
          </w:tcPr>
          <w:p>
            <w:pPr>
              <w:pStyle w:val="TableHeading"/>
              <w:suppressLineNumbers/>
              <w:bidi w:val="0"/>
              <w:jc w:val="center"/>
              <w:rPr/>
            </w:pPr>
            <w:r>
              <w:rPr/>
              <w:t>Year</w:t>
            </w:r>
          </w:p>
        </w:tc>
        <w:tc>
          <w:tcPr>
            <w:tcW w:w="2027" w:type="dxa"/>
            <w:tcBorders/>
            <w:vAlign w:val="center"/>
          </w:tcPr>
          <w:p>
            <w:pPr>
              <w:pStyle w:val="TableHeading"/>
              <w:suppressLineNumbers/>
              <w:bidi w:val="0"/>
              <w:jc w:val="center"/>
              <w:rPr/>
            </w:pPr>
            <w:r>
              <w:rPr/>
              <w:t>Key Unified Tool Focus</w:t>
            </w:r>
          </w:p>
        </w:tc>
        <w:tc>
          <w:tcPr>
            <w:tcW w:w="1711" w:type="dxa"/>
            <w:tcBorders/>
            <w:vAlign w:val="center"/>
          </w:tcPr>
          <w:p>
            <w:pPr>
              <w:pStyle w:val="TableHeading"/>
              <w:suppressLineNumbers/>
              <w:bidi w:val="0"/>
              <w:jc w:val="center"/>
              <w:rPr/>
            </w:pPr>
            <w:r>
              <w:rPr/>
              <w:t>Iringa Relevance</w:t>
            </w:r>
          </w:p>
        </w:tc>
        <w:tc>
          <w:tcPr>
            <w:tcW w:w="1880" w:type="dxa"/>
            <w:tcBorders/>
            <w:vAlign w:val="center"/>
          </w:tcPr>
          <w:p>
            <w:pPr>
              <w:pStyle w:val="TableHeading"/>
              <w:suppressLineNumbers/>
              <w:bidi w:val="0"/>
              <w:jc w:val="center"/>
              <w:rPr/>
            </w:pPr>
            <w:r>
              <w:rPr/>
              <w:t>Gaps Identified</w:t>
            </w:r>
          </w:p>
        </w:tc>
      </w:tr>
      <w:tr>
        <w:trPr/>
        <w:tc>
          <w:tcPr>
            <w:tcW w:w="3537" w:type="dxa"/>
            <w:tcBorders/>
            <w:vAlign w:val="center"/>
          </w:tcPr>
          <w:p>
            <w:pPr>
              <w:pStyle w:val="TableContents"/>
              <w:widowControl w:val="false"/>
              <w:suppressLineNumbers/>
              <w:bidi w:val="0"/>
              <w:jc w:val="start"/>
              <w:rPr/>
            </w:pPr>
            <w:r>
              <w:rPr/>
              <w:t>Mini-Conference</w:t>
            </w:r>
            <w:hyperlink r:id="rId10" w:tgtFrame="_blank">
              <w:r>
                <w:rPr>
                  <w:rStyle w:val="Hyperlink"/>
                </w:rPr>
                <w:t>academia</w:t>
              </w:r>
            </w:hyperlink>
            <w:r>
              <w:rPr/>
              <w:t>​</w:t>
            </w:r>
          </w:p>
        </w:tc>
        <w:tc>
          <w:tcPr>
            <w:tcW w:w="817" w:type="dxa"/>
            <w:tcBorders/>
            <w:vAlign w:val="center"/>
          </w:tcPr>
          <w:p>
            <w:pPr>
              <w:pStyle w:val="TableContents"/>
              <w:widowControl w:val="false"/>
              <w:suppressLineNumbers/>
              <w:bidi w:val="0"/>
              <w:jc w:val="start"/>
              <w:rPr/>
            </w:pPr>
            <w:r>
              <w:rPr/>
              <w:t>2012</w:t>
            </w:r>
          </w:p>
        </w:tc>
        <w:tc>
          <w:tcPr>
            <w:tcW w:w="2027" w:type="dxa"/>
            <w:tcBorders/>
            <w:vAlign w:val="center"/>
          </w:tcPr>
          <w:p>
            <w:pPr>
              <w:pStyle w:val="TableContents"/>
              <w:widowControl w:val="false"/>
              <w:suppressLineNumbers/>
              <w:bidi w:val="0"/>
              <w:jc w:val="start"/>
              <w:rPr/>
            </w:pPr>
            <w:r>
              <w:rPr/>
              <w:t>Basic standards integration</w:t>
            </w:r>
          </w:p>
        </w:tc>
        <w:tc>
          <w:tcPr>
            <w:tcW w:w="1711" w:type="dxa"/>
            <w:tcBorders/>
            <w:vAlign w:val="center"/>
          </w:tcPr>
          <w:p>
            <w:pPr>
              <w:pStyle w:val="TableContents"/>
              <w:widowControl w:val="false"/>
              <w:suppressLineNumbers/>
              <w:bidi w:val="0"/>
              <w:jc w:val="start"/>
              <w:rPr/>
            </w:pPr>
            <w:r>
              <w:rPr/>
              <w:t>Early rural silos</w:t>
            </w:r>
          </w:p>
        </w:tc>
        <w:tc>
          <w:tcPr>
            <w:tcW w:w="1880" w:type="dxa"/>
            <w:tcBorders/>
            <w:vAlign w:val="center"/>
          </w:tcPr>
          <w:p>
            <w:pPr>
              <w:pStyle w:val="TableContents"/>
              <w:widowControl w:val="false"/>
              <w:suppressLineNumbers/>
              <w:bidi w:val="0"/>
              <w:jc w:val="start"/>
              <w:rPr/>
            </w:pPr>
            <w:r>
              <w:rPr/>
              <w:t>No AI/real-time</w:t>
            </w:r>
          </w:p>
        </w:tc>
      </w:tr>
      <w:tr>
        <w:trPr/>
        <w:tc>
          <w:tcPr>
            <w:tcW w:w="3537" w:type="dxa"/>
            <w:tcBorders/>
            <w:vAlign w:val="center"/>
          </w:tcPr>
          <w:p>
            <w:pPr>
              <w:pStyle w:val="TableContents"/>
              <w:widowControl w:val="false"/>
              <w:suppressLineNumbers/>
              <w:bidi w:val="0"/>
              <w:jc w:val="start"/>
              <w:rPr/>
            </w:pPr>
            <w:r>
              <w:rPr/>
              <w:t>Rweyongeza</w:t>
            </w:r>
            <w:hyperlink r:id="rId11" w:tgtFrame="_blank">
              <w:r>
                <w:rPr>
                  <w:rStyle w:val="Hyperlink"/>
                </w:rPr>
                <w:t>libraryrepository.udsm</w:t>
              </w:r>
            </w:hyperlink>
            <w:r>
              <w:rPr/>
              <w:t>​</w:t>
            </w:r>
          </w:p>
        </w:tc>
        <w:tc>
          <w:tcPr>
            <w:tcW w:w="817" w:type="dxa"/>
            <w:tcBorders/>
            <w:vAlign w:val="center"/>
          </w:tcPr>
          <w:p>
            <w:pPr>
              <w:pStyle w:val="TableContents"/>
              <w:widowControl w:val="false"/>
              <w:suppressLineNumbers/>
              <w:bidi w:val="0"/>
              <w:jc w:val="start"/>
              <w:rPr/>
            </w:pPr>
            <w:r>
              <w:rPr/>
              <w:t>2012</w:t>
            </w:r>
          </w:p>
        </w:tc>
        <w:tc>
          <w:tcPr>
            <w:tcW w:w="2027" w:type="dxa"/>
            <w:tcBorders/>
            <w:vAlign w:val="center"/>
          </w:tcPr>
          <w:p>
            <w:pPr>
              <w:pStyle w:val="TableContents"/>
              <w:widowControl w:val="false"/>
              <w:suppressLineNumbers/>
              <w:bidi w:val="0"/>
              <w:jc w:val="start"/>
              <w:rPr/>
            </w:pPr>
            <w:r>
              <w:rPr/>
              <w:t>Forensic unification</w:t>
            </w:r>
          </w:p>
        </w:tc>
        <w:tc>
          <w:tcPr>
            <w:tcW w:w="1711" w:type="dxa"/>
            <w:tcBorders/>
            <w:vAlign w:val="center"/>
          </w:tcPr>
          <w:p>
            <w:pPr>
              <w:pStyle w:val="TableContents"/>
              <w:widowControl w:val="false"/>
              <w:suppressLineNumbers/>
              <w:bidi w:val="0"/>
              <w:jc w:val="start"/>
              <w:rPr/>
            </w:pPr>
            <w:r>
              <w:rPr/>
              <w:t>Police evidence delays</w:t>
            </w:r>
          </w:p>
        </w:tc>
        <w:tc>
          <w:tcPr>
            <w:tcW w:w="1880" w:type="dxa"/>
            <w:tcBorders/>
            <w:vAlign w:val="center"/>
          </w:tcPr>
          <w:p>
            <w:pPr>
              <w:pStyle w:val="TableContents"/>
              <w:widowControl w:val="false"/>
              <w:suppressLineNumbers/>
              <w:bidi w:val="0"/>
              <w:jc w:val="start"/>
              <w:rPr/>
            </w:pPr>
            <w:r>
              <w:rPr/>
              <w:t>Legal-tool mismatch</w:t>
            </w:r>
          </w:p>
        </w:tc>
      </w:tr>
      <w:tr>
        <w:trPr/>
        <w:tc>
          <w:tcPr>
            <w:tcW w:w="3537" w:type="dxa"/>
            <w:tcBorders/>
            <w:vAlign w:val="center"/>
          </w:tcPr>
          <w:p>
            <w:pPr>
              <w:pStyle w:val="TableContents"/>
              <w:widowControl w:val="false"/>
              <w:suppressLineNumbers/>
              <w:bidi w:val="0"/>
              <w:jc w:val="start"/>
              <w:rPr/>
            </w:pPr>
            <w:r>
              <w:rPr/>
              <w:t>Solva</w:t>
            </w:r>
            <w:hyperlink r:id="rId12" w:tgtFrame="_blank">
              <w:r>
                <w:rPr>
                  <w:rStyle w:val="Hyperlink"/>
                </w:rPr>
                <w:t>academia</w:t>
              </w:r>
            </w:hyperlink>
            <w:r>
              <w:rPr/>
              <w:t>​</w:t>
            </w:r>
          </w:p>
        </w:tc>
        <w:tc>
          <w:tcPr>
            <w:tcW w:w="817" w:type="dxa"/>
            <w:tcBorders/>
            <w:vAlign w:val="center"/>
          </w:tcPr>
          <w:p>
            <w:pPr>
              <w:pStyle w:val="TableContents"/>
              <w:widowControl w:val="false"/>
              <w:suppressLineNumbers/>
              <w:bidi w:val="0"/>
              <w:jc w:val="start"/>
              <w:rPr/>
            </w:pPr>
            <w:r>
              <w:rPr/>
              <w:t>2019</w:t>
            </w:r>
          </w:p>
        </w:tc>
        <w:tc>
          <w:tcPr>
            <w:tcW w:w="2027" w:type="dxa"/>
            <w:tcBorders/>
            <w:vAlign w:val="center"/>
          </w:tcPr>
          <w:p>
            <w:pPr>
              <w:pStyle w:val="TableContents"/>
              <w:widowControl w:val="false"/>
              <w:suppressLineNumbers/>
              <w:bidi w:val="0"/>
              <w:jc w:val="start"/>
              <w:rPr/>
            </w:pPr>
            <w:r>
              <w:rPr/>
              <w:t>Segmentation/scanning</w:t>
            </w:r>
          </w:p>
        </w:tc>
        <w:tc>
          <w:tcPr>
            <w:tcW w:w="1711" w:type="dxa"/>
            <w:tcBorders/>
            <w:vAlign w:val="center"/>
          </w:tcPr>
          <w:p>
            <w:pPr>
              <w:pStyle w:val="TableContents"/>
              <w:widowControl w:val="false"/>
              <w:suppressLineNumbers/>
              <w:bidi w:val="0"/>
              <w:jc w:val="start"/>
              <w:rPr/>
            </w:pPr>
            <w:r>
              <w:rPr/>
              <w:t>Educational networks</w:t>
            </w:r>
          </w:p>
        </w:tc>
        <w:tc>
          <w:tcPr>
            <w:tcW w:w="1880" w:type="dxa"/>
            <w:tcBorders/>
            <w:vAlign w:val="center"/>
          </w:tcPr>
          <w:p>
            <w:pPr>
              <w:pStyle w:val="TableContents"/>
              <w:widowControl w:val="false"/>
              <w:suppressLineNumbers/>
              <w:bidi w:val="0"/>
              <w:jc w:val="start"/>
              <w:rPr/>
            </w:pPr>
            <w:r>
              <w:rPr/>
              <w:t>Awareness deficits</w:t>
            </w:r>
          </w:p>
        </w:tc>
      </w:tr>
      <w:tr>
        <w:trPr/>
        <w:tc>
          <w:tcPr>
            <w:tcW w:w="3537" w:type="dxa"/>
            <w:tcBorders/>
            <w:vAlign w:val="center"/>
          </w:tcPr>
          <w:p>
            <w:pPr>
              <w:pStyle w:val="TableContents"/>
              <w:widowControl w:val="false"/>
              <w:suppressLineNumbers/>
              <w:bidi w:val="0"/>
              <w:jc w:val="start"/>
              <w:rPr/>
            </w:pPr>
            <w:r>
              <w:rPr/>
              <w:t>Ndimbos</w:t>
            </w:r>
            <w:hyperlink r:id="rId13" w:tgtFrame="_blank">
              <w:r>
                <w:rPr>
                  <w:rStyle w:val="Hyperlink"/>
                </w:rPr>
                <w:t>ebooks.rucu</w:t>
              </w:r>
            </w:hyperlink>
            <w:r>
              <w:rPr/>
              <w:t>​</w:t>
            </w:r>
          </w:p>
        </w:tc>
        <w:tc>
          <w:tcPr>
            <w:tcW w:w="817" w:type="dxa"/>
            <w:tcBorders/>
            <w:vAlign w:val="center"/>
          </w:tcPr>
          <w:p>
            <w:pPr>
              <w:pStyle w:val="TableContents"/>
              <w:widowControl w:val="false"/>
              <w:suppressLineNumbers/>
              <w:bidi w:val="0"/>
              <w:jc w:val="start"/>
              <w:rPr/>
            </w:pPr>
            <w:r>
              <w:rPr/>
              <w:t>~2023</w:t>
            </w:r>
          </w:p>
        </w:tc>
        <w:tc>
          <w:tcPr>
            <w:tcW w:w="2027" w:type="dxa"/>
            <w:tcBorders/>
            <w:vAlign w:val="center"/>
          </w:tcPr>
          <w:p>
            <w:pPr>
              <w:pStyle w:val="TableContents"/>
              <w:widowControl w:val="false"/>
              <w:suppressLineNumbers/>
              <w:bidi w:val="0"/>
              <w:jc w:val="start"/>
              <w:rPr/>
            </w:pPr>
            <w:r>
              <w:rPr/>
              <w:t>AI correlation platforms</w:t>
            </w:r>
          </w:p>
        </w:tc>
        <w:tc>
          <w:tcPr>
            <w:tcW w:w="1711" w:type="dxa"/>
            <w:tcBorders/>
            <w:vAlign w:val="center"/>
          </w:tcPr>
          <w:p>
            <w:pPr>
              <w:pStyle w:val="TableContents"/>
              <w:widowControl w:val="false"/>
              <w:suppressLineNumbers/>
              <w:bidi w:val="0"/>
              <w:jc w:val="start"/>
              <w:rPr/>
            </w:pPr>
            <w:r>
              <w:rPr/>
              <w:t>70% prosecution lags</w:t>
            </w:r>
          </w:p>
        </w:tc>
        <w:tc>
          <w:tcPr>
            <w:tcW w:w="1880" w:type="dxa"/>
            <w:tcBorders/>
            <w:vAlign w:val="center"/>
          </w:tcPr>
          <w:p>
            <w:pPr>
              <w:pStyle w:val="TableContents"/>
              <w:widowControl w:val="false"/>
              <w:suppressLineNumbers/>
              <w:bidi w:val="0"/>
              <w:jc w:val="start"/>
              <w:rPr/>
            </w:pPr>
            <w:r>
              <w:rPr/>
              <w:t>Manual processes</w:t>
            </w:r>
          </w:p>
        </w:tc>
      </w:tr>
      <w:tr>
        <w:trPr/>
        <w:tc>
          <w:tcPr>
            <w:tcW w:w="3537" w:type="dxa"/>
            <w:tcBorders/>
            <w:vAlign w:val="center"/>
          </w:tcPr>
          <w:p>
            <w:pPr>
              <w:pStyle w:val="TableContents"/>
              <w:widowControl w:val="false"/>
              <w:suppressLineNumbers/>
              <w:bidi w:val="0"/>
              <w:jc w:val="start"/>
              <w:rPr/>
            </w:pPr>
            <w:r>
              <w:rPr/>
              <w:t>Nat'l Strategy</w:t>
            </w:r>
            <w:hyperlink r:id="rId14" w:tgtFrame="_blank">
              <w:r>
                <w:rPr>
                  <w:rStyle w:val="Hyperlink"/>
                </w:rPr>
                <w:t>utumishi</w:t>
              </w:r>
            </w:hyperlink>
            <w:r>
              <w:rPr/>
              <w:t>​</w:t>
            </w:r>
          </w:p>
        </w:tc>
        <w:tc>
          <w:tcPr>
            <w:tcW w:w="817" w:type="dxa"/>
            <w:tcBorders/>
            <w:vAlign w:val="center"/>
          </w:tcPr>
          <w:p>
            <w:pPr>
              <w:pStyle w:val="TableContents"/>
              <w:widowControl w:val="false"/>
              <w:suppressLineNumbers/>
              <w:bidi w:val="0"/>
              <w:jc w:val="start"/>
              <w:rPr/>
            </w:pPr>
            <w:r>
              <w:rPr/>
              <w:t>2022</w:t>
            </w:r>
          </w:p>
        </w:tc>
        <w:tc>
          <w:tcPr>
            <w:tcW w:w="2027" w:type="dxa"/>
            <w:tcBorders/>
            <w:vAlign w:val="center"/>
          </w:tcPr>
          <w:p>
            <w:pPr>
              <w:pStyle w:val="TableContents"/>
              <w:widowControl w:val="false"/>
              <w:suppressLineNumbers/>
              <w:bidi w:val="0"/>
              <w:jc w:val="start"/>
              <w:rPr/>
            </w:pPr>
            <w:r>
              <w:rPr/>
              <w:t>SOC/vulnerability tools</w:t>
            </w:r>
          </w:p>
        </w:tc>
        <w:tc>
          <w:tcPr>
            <w:tcW w:w="1711" w:type="dxa"/>
            <w:tcBorders/>
            <w:vAlign w:val="center"/>
          </w:tcPr>
          <w:p>
            <w:pPr>
              <w:pStyle w:val="TableContents"/>
              <w:widowControl w:val="false"/>
              <w:suppressLineNumbers/>
              <w:bidi w:val="0"/>
              <w:jc w:val="start"/>
              <w:rPr/>
            </w:pPr>
            <w:r>
              <w:rPr/>
              <w:t>e-Gov resilience</w:t>
            </w:r>
          </w:p>
        </w:tc>
        <w:tc>
          <w:tcPr>
            <w:tcW w:w="1880" w:type="dxa"/>
            <w:tcBorders/>
            <w:vAlign w:val="center"/>
          </w:tcPr>
          <w:p>
            <w:pPr>
              <w:pStyle w:val="TableContents"/>
              <w:widowControl w:val="false"/>
              <w:suppressLineNumbers/>
              <w:bidi w:val="0"/>
              <w:jc w:val="start"/>
              <w:rPr/>
            </w:pPr>
            <w:r>
              <w:rPr/>
              <w:t>Implementation lags</w:t>
            </w:r>
          </w:p>
        </w:tc>
      </w:tr>
      <w:tr>
        <w:trPr/>
        <w:tc>
          <w:tcPr>
            <w:tcW w:w="3537" w:type="dxa"/>
            <w:tcBorders/>
            <w:vAlign w:val="center"/>
          </w:tcPr>
          <w:p>
            <w:pPr>
              <w:pStyle w:val="TableContents"/>
              <w:widowControl w:val="false"/>
              <w:suppressLineNumbers/>
              <w:bidi w:val="0"/>
              <w:jc w:val="start"/>
              <w:rPr/>
            </w:pPr>
            <w:r>
              <w:rPr/>
              <w:t>Mahadhi/Flashnet</w:t>
            </w:r>
            <w:hyperlink r:id="rId15" w:tgtFrame="_blank">
              <w:r>
                <w:rPr>
                  <w:rStyle w:val="Hyperlink"/>
                </w:rPr>
                <w:t>repository.iaa+1</w:t>
              </w:r>
            </w:hyperlink>
            <w:r>
              <w:rPr/>
              <w:t>​</w:t>
            </w:r>
          </w:p>
        </w:tc>
        <w:tc>
          <w:tcPr>
            <w:tcW w:w="817" w:type="dxa"/>
            <w:tcBorders/>
            <w:vAlign w:val="center"/>
          </w:tcPr>
          <w:p>
            <w:pPr>
              <w:pStyle w:val="TableContents"/>
              <w:widowControl w:val="false"/>
              <w:suppressLineNumbers/>
              <w:bidi w:val="0"/>
              <w:jc w:val="start"/>
              <w:rPr/>
            </w:pPr>
            <w:r>
              <w:rPr/>
              <w:t>2024–25</w:t>
            </w:r>
          </w:p>
        </w:tc>
        <w:tc>
          <w:tcPr>
            <w:tcW w:w="2027" w:type="dxa"/>
            <w:tcBorders/>
            <w:vAlign w:val="center"/>
          </w:tcPr>
          <w:p>
            <w:pPr>
              <w:pStyle w:val="TableContents"/>
              <w:widowControl w:val="false"/>
              <w:suppressLineNumbers/>
              <w:bidi w:val="0"/>
              <w:jc w:val="start"/>
              <w:rPr/>
            </w:pPr>
            <w:r>
              <w:rPr/>
              <w:t>WAF/NDR single-pane</w:t>
            </w:r>
          </w:p>
        </w:tc>
        <w:tc>
          <w:tcPr>
            <w:tcW w:w="1711" w:type="dxa"/>
            <w:tcBorders/>
            <w:vAlign w:val="center"/>
          </w:tcPr>
          <w:p>
            <w:pPr>
              <w:pStyle w:val="TableContents"/>
              <w:widowControl w:val="false"/>
              <w:suppressLineNumbers/>
              <w:bidi w:val="0"/>
              <w:jc w:val="start"/>
              <w:rPr/>
            </w:pPr>
            <w:r>
              <w:rPr/>
              <w:t>Hybrid compliance</w:t>
            </w:r>
          </w:p>
        </w:tc>
        <w:tc>
          <w:tcPr>
            <w:tcW w:w="1880" w:type="dxa"/>
            <w:tcBorders/>
            <w:vAlign w:val="center"/>
          </w:tcPr>
          <w:p>
            <w:pPr>
              <w:pStyle w:val="TableContents"/>
              <w:widowControl w:val="false"/>
              <w:suppressLineNumbers/>
              <w:bidi w:val="0"/>
              <w:jc w:val="start"/>
              <w:rPr/>
            </w:pPr>
            <w:r>
              <w:rPr/>
              <w:t>Adoption scale</w:t>
            </w:r>
          </w:p>
        </w:tc>
      </w:tr>
    </w:tbl>
    <w:p>
      <w:pPr>
        <w:pStyle w:val="Heading2"/>
        <w:bidi w:val="0"/>
        <w:spacing w:lineRule="auto" w:line="360"/>
        <w:ind w:hanging="0" w:start="0" w:end="0"/>
        <w:jc w:val="start"/>
        <w:rPr>
          <w:rFonts w:ascii="Times new roman" w:hAnsi="Times new roman"/>
        </w:rPr>
      </w:pPr>
      <w:bookmarkStart w:id="3" w:name="conclusion"/>
      <w:bookmarkEnd w:id="3"/>
      <w:r>
        <w:rPr>
          <w:rFonts w:ascii="Times new roman" w:hAnsi="Times new roman"/>
        </w:rPr>
        <w:t>Conclusion</w:t>
      </w:r>
    </w:p>
    <w:p>
      <w:pPr>
        <w:pStyle w:val="BodyText"/>
        <w:bidi w:val="0"/>
        <w:spacing w:lineRule="auto" w:line="360"/>
        <w:jc w:val="start"/>
        <w:rPr>
          <w:rFonts w:ascii="Times new roman" w:hAnsi="Times new roman"/>
        </w:rPr>
      </w:pPr>
      <w:r>
        <w:rPr>
          <w:rFonts w:ascii="Times new roman" w:hAnsi="Times new roman"/>
        </w:rPr>
        <w:t>Tanzanian literature progresses from legal-institutional critiques to unified AI platforms, yet Iringa reveals persistent fragmentation in web/network tools, delaying cybercrime responses. National strategies bridge gaps through R&amp;D and SOCs, but regional studies urge localized deployments like Flashnet for hybrid threats. Future research should validate AI frameworks empirically in Iringa, enhancing maturity models for scalable protection amid 229% penetration growth. This synthesis underscores unified tools' potential to transform enforcement, aligning global advances with local needs.</w:t>
      </w:r>
      <w:hyperlink r:id="rId16" w:tgtFrame="_blank">
        <w:r>
          <w:rPr>
            <w:rStyle w:val="Hyperlink"/>
            <w:rFonts w:ascii="Times new roman" w:hAnsi="Times new roman"/>
          </w:rPr>
          <w:t>ijfmr+5</w:t>
        </w:r>
      </w:hyperlink>
      <w:r>
        <w:rPr>
          <w:rFonts w:ascii="Times new roman" w:hAnsi="Times new roman"/>
        </w:rPr>
        <w:t>​</w:t>
      </w:r>
    </w:p>
    <w:p>
      <w:pPr>
        <w:pStyle w:val="BodyText"/>
        <w:numPr>
          <w:ilvl w:val="0"/>
          <w:numId w:val="1"/>
        </w:numPr>
        <w:tabs>
          <w:tab w:val="clear" w:pos="709"/>
          <w:tab w:val="left" w:pos="709" w:leader="none"/>
        </w:tabs>
        <w:bidi w:val="0"/>
        <w:spacing w:lineRule="auto" w:line="360" w:before="0" w:after="0"/>
        <w:ind w:hanging="283" w:start="709"/>
        <w:jc w:val="start"/>
        <w:rPr>
          <w:rFonts w:ascii="Times new roman" w:hAnsi="Times new roman"/>
        </w:rPr>
      </w:pPr>
      <w:hyperlink r:id="rId17">
        <w:r>
          <w:rPr>
            <w:rStyle w:val="Hyperlink"/>
            <w:rFonts w:ascii="Times new roman" w:hAnsi="Times new roman"/>
          </w:rPr>
          <w:t>https://www.utumishi.go.tz/uploads/documents/sw-1688121496-TANZANIA%20GOVERNMENT%20CYBERSECURITY%20STRATEGY%202022.pdf</w:t>
        </w:r>
      </w:hyperlink>
      <w:r>
        <w:rPr>
          <w:rFonts w:ascii="Times new roman" w:hAnsi="Times new roman"/>
        </w:rPr>
        <w:t xml:space="preserve"> </w:t>
      </w:r>
    </w:p>
    <w:p>
      <w:pPr>
        <w:pStyle w:val="BodyText"/>
        <w:numPr>
          <w:ilvl w:val="0"/>
          <w:numId w:val="1"/>
        </w:numPr>
        <w:tabs>
          <w:tab w:val="clear" w:pos="709"/>
          <w:tab w:val="left" w:pos="709" w:leader="none"/>
        </w:tabs>
        <w:bidi w:val="0"/>
        <w:spacing w:lineRule="auto" w:line="360" w:before="0" w:after="0"/>
        <w:ind w:hanging="283" w:start="709"/>
        <w:jc w:val="start"/>
        <w:rPr>
          <w:rFonts w:ascii="Times new roman" w:hAnsi="Times new roman"/>
        </w:rPr>
      </w:pPr>
      <w:hyperlink r:id="rId18">
        <w:r>
          <w:rPr>
            <w:rStyle w:val="Hyperlink"/>
            <w:rFonts w:ascii="Times new roman" w:hAnsi="Times new roman"/>
          </w:rPr>
          <w:t>https://ebooks.rucu.ac.tz/storage/uploads/NDIMBO%20HERBERT.pdf</w:t>
        </w:r>
      </w:hyperlink>
      <w:r>
        <w:rPr>
          <w:rFonts w:ascii="Times new roman" w:hAnsi="Times new roman"/>
        </w:rPr>
        <w:t xml:space="preserve"> </w:t>
      </w:r>
    </w:p>
    <w:p>
      <w:pPr>
        <w:pStyle w:val="BodyText"/>
        <w:numPr>
          <w:ilvl w:val="0"/>
          <w:numId w:val="1"/>
        </w:numPr>
        <w:tabs>
          <w:tab w:val="clear" w:pos="709"/>
          <w:tab w:val="left" w:pos="709" w:leader="none"/>
        </w:tabs>
        <w:bidi w:val="0"/>
        <w:spacing w:lineRule="auto" w:line="360" w:before="0" w:after="0"/>
        <w:ind w:hanging="283" w:start="709"/>
        <w:jc w:val="start"/>
        <w:rPr>
          <w:rFonts w:ascii="Times new roman" w:hAnsi="Times new roman"/>
        </w:rPr>
      </w:pPr>
      <w:hyperlink r:id="rId19">
        <w:r>
          <w:rPr>
            <w:rStyle w:val="Hyperlink"/>
            <w:rFonts w:ascii="Times new roman" w:hAnsi="Times new roman"/>
          </w:rPr>
          <w:t>https://www.ijfmr.com/papers/2024/1/14058.pdf</w:t>
        </w:r>
      </w:hyperlink>
      <w:r>
        <w:rPr>
          <w:rFonts w:ascii="Times new roman" w:hAnsi="Times new roman"/>
        </w:rPr>
        <w:t xml:space="preserve"> </w:t>
      </w:r>
    </w:p>
    <w:p>
      <w:pPr>
        <w:pStyle w:val="BodyText"/>
        <w:numPr>
          <w:ilvl w:val="0"/>
          <w:numId w:val="1"/>
        </w:numPr>
        <w:tabs>
          <w:tab w:val="clear" w:pos="709"/>
          <w:tab w:val="left" w:pos="709" w:leader="none"/>
        </w:tabs>
        <w:bidi w:val="0"/>
        <w:spacing w:lineRule="auto" w:line="360" w:before="0" w:after="0"/>
        <w:ind w:hanging="283" w:start="709"/>
        <w:jc w:val="start"/>
        <w:rPr>
          <w:rFonts w:ascii="Times new roman" w:hAnsi="Times new roman"/>
        </w:rPr>
      </w:pPr>
      <w:hyperlink r:id="rId20">
        <w:r>
          <w:rPr>
            <w:rStyle w:val="Hyperlink"/>
            <w:rFonts w:ascii="Times new roman" w:hAnsi="Times new roman"/>
          </w:rPr>
          <w:t>https://www.academia.edu/1925835/Cyber_Security_in_Tanzania_Proceedings_of_the_Cyber_Security_Mini_Confrece</w:t>
        </w:r>
      </w:hyperlink>
      <w:r>
        <w:rPr>
          <w:rFonts w:ascii="Times new roman" w:hAnsi="Times new roman"/>
        </w:rPr>
        <w:t xml:space="preserve"> </w:t>
      </w:r>
    </w:p>
    <w:p>
      <w:pPr>
        <w:pStyle w:val="BodyText"/>
        <w:numPr>
          <w:ilvl w:val="0"/>
          <w:numId w:val="1"/>
        </w:numPr>
        <w:tabs>
          <w:tab w:val="clear" w:pos="709"/>
          <w:tab w:val="left" w:pos="709" w:leader="none"/>
        </w:tabs>
        <w:bidi w:val="0"/>
        <w:spacing w:lineRule="auto" w:line="360" w:before="0" w:after="0"/>
        <w:ind w:hanging="283" w:start="709"/>
        <w:jc w:val="start"/>
        <w:rPr>
          <w:rFonts w:ascii="Times new roman" w:hAnsi="Times new roman"/>
        </w:rPr>
      </w:pPr>
      <w:hyperlink r:id="rId21">
        <w:r>
          <w:rPr>
            <w:rStyle w:val="Hyperlink"/>
            <w:rFonts w:ascii="Times new roman" w:hAnsi="Times new roman"/>
          </w:rPr>
          <w:t>https://libraryrepository.udsm.ac.tz/items/ef6253e4-2e09-474b-ba52-3a3b611ed2d1/full</w:t>
        </w:r>
      </w:hyperlink>
      <w:r>
        <w:rPr>
          <w:rFonts w:ascii="Times new roman" w:hAnsi="Times new roman"/>
        </w:rPr>
        <w:t xml:space="preserve"> </w:t>
      </w:r>
    </w:p>
    <w:p>
      <w:pPr>
        <w:pStyle w:val="BodyText"/>
        <w:numPr>
          <w:ilvl w:val="0"/>
          <w:numId w:val="1"/>
        </w:numPr>
        <w:tabs>
          <w:tab w:val="clear" w:pos="709"/>
          <w:tab w:val="left" w:pos="709" w:leader="none"/>
        </w:tabs>
        <w:bidi w:val="0"/>
        <w:spacing w:lineRule="auto" w:line="360" w:before="0" w:after="0"/>
        <w:ind w:hanging="283" w:start="709"/>
        <w:jc w:val="start"/>
        <w:rPr>
          <w:rFonts w:ascii="Times new roman" w:hAnsi="Times new roman"/>
        </w:rPr>
      </w:pPr>
      <w:hyperlink r:id="rId22">
        <w:r>
          <w:rPr>
            <w:rStyle w:val="Hyperlink"/>
            <w:rFonts w:ascii="Times new roman" w:hAnsi="Times new roman"/>
          </w:rPr>
          <w:t>http://repository.iaa.ac.tz:8080/xmlui/handle/123456789/2451</w:t>
        </w:r>
      </w:hyperlink>
      <w:r>
        <w:rPr>
          <w:rFonts w:ascii="Times new roman" w:hAnsi="Times new roman"/>
        </w:rPr>
        <w:t xml:space="preserve"> </w:t>
      </w:r>
    </w:p>
    <w:p>
      <w:pPr>
        <w:pStyle w:val="BodyText"/>
        <w:numPr>
          <w:ilvl w:val="0"/>
          <w:numId w:val="1"/>
        </w:numPr>
        <w:tabs>
          <w:tab w:val="clear" w:pos="709"/>
          <w:tab w:val="left" w:pos="709" w:leader="none"/>
        </w:tabs>
        <w:bidi w:val="0"/>
        <w:spacing w:lineRule="auto" w:line="360" w:before="0" w:after="0"/>
        <w:ind w:hanging="283" w:start="709"/>
        <w:jc w:val="start"/>
        <w:rPr>
          <w:rFonts w:ascii="Times new roman" w:hAnsi="Times new roman"/>
        </w:rPr>
      </w:pPr>
      <w:hyperlink r:id="rId23">
        <w:r>
          <w:rPr>
            <w:rStyle w:val="Hyperlink"/>
            <w:rFonts w:ascii="Times new roman" w:hAnsi="Times new roman"/>
          </w:rPr>
          <w:t>https://flashnet.co.tz/solutions/cyber-security/</w:t>
        </w:r>
      </w:hyperlink>
      <w:r>
        <w:rPr>
          <w:rFonts w:ascii="Times new roman" w:hAnsi="Times new roman"/>
        </w:rPr>
        <w:t xml:space="preserve"> </w:t>
      </w:r>
    </w:p>
    <w:p>
      <w:pPr>
        <w:pStyle w:val="BodyText"/>
        <w:numPr>
          <w:ilvl w:val="0"/>
          <w:numId w:val="1"/>
        </w:numPr>
        <w:tabs>
          <w:tab w:val="clear" w:pos="709"/>
          <w:tab w:val="left" w:pos="709" w:leader="none"/>
        </w:tabs>
        <w:bidi w:val="0"/>
        <w:spacing w:lineRule="auto" w:line="360" w:before="0" w:after="0"/>
        <w:ind w:hanging="283" w:start="709"/>
        <w:jc w:val="start"/>
        <w:rPr>
          <w:rFonts w:ascii="Times new roman" w:hAnsi="Times new roman"/>
        </w:rPr>
      </w:pPr>
      <w:hyperlink r:id="rId24">
        <w:r>
          <w:rPr>
            <w:rStyle w:val="Hyperlink"/>
            <w:rFonts w:ascii="Times new roman" w:hAnsi="Times new roman"/>
          </w:rPr>
          <w:t>https://flashnet.co.tz/array/</w:t>
        </w:r>
      </w:hyperlink>
      <w:r>
        <w:rPr>
          <w:rFonts w:ascii="Times new roman" w:hAnsi="Times new roman"/>
        </w:rPr>
        <w:t xml:space="preserve"> </w:t>
      </w:r>
    </w:p>
    <w:p>
      <w:pPr>
        <w:pStyle w:val="BodyText"/>
        <w:numPr>
          <w:ilvl w:val="0"/>
          <w:numId w:val="1"/>
        </w:numPr>
        <w:tabs>
          <w:tab w:val="clear" w:pos="709"/>
          <w:tab w:val="left" w:pos="709" w:leader="none"/>
        </w:tabs>
        <w:bidi w:val="0"/>
        <w:spacing w:lineRule="auto" w:line="360" w:before="0" w:after="0"/>
        <w:ind w:hanging="283" w:start="709"/>
        <w:jc w:val="start"/>
        <w:rPr>
          <w:rFonts w:ascii="Times new roman" w:hAnsi="Times new roman"/>
        </w:rPr>
      </w:pPr>
      <w:hyperlink r:id="rId25">
        <w:r>
          <w:rPr>
            <w:rStyle w:val="Hyperlink"/>
            <w:rFonts w:ascii="Times new roman" w:hAnsi="Times new roman"/>
          </w:rPr>
          <w:t>https://scholar.google.com/citations?hl=en&amp;mauthors=label%3Acybersecurity&amp;view_op=search_authors</w:t>
        </w:r>
      </w:hyperlink>
      <w:r>
        <w:rPr>
          <w:rFonts w:ascii="Times new roman" w:hAnsi="Times new roman"/>
        </w:rPr>
        <w:t xml:space="preserve"> </w:t>
      </w:r>
    </w:p>
    <w:p>
      <w:pPr>
        <w:pStyle w:val="BodyText"/>
        <w:numPr>
          <w:ilvl w:val="0"/>
          <w:numId w:val="1"/>
        </w:numPr>
        <w:tabs>
          <w:tab w:val="clear" w:pos="709"/>
          <w:tab w:val="left" w:pos="709" w:leader="none"/>
        </w:tabs>
        <w:bidi w:val="0"/>
        <w:spacing w:lineRule="auto" w:line="360" w:before="0" w:after="0"/>
        <w:ind w:hanging="283" w:start="709"/>
        <w:jc w:val="start"/>
        <w:rPr>
          <w:rFonts w:ascii="Times new roman" w:hAnsi="Times new roman"/>
        </w:rPr>
      </w:pPr>
      <w:hyperlink r:id="rId26">
        <w:r>
          <w:rPr>
            <w:rStyle w:val="Hyperlink"/>
            <w:rFonts w:ascii="Times new roman" w:hAnsi="Times new roman"/>
          </w:rPr>
          <w:t>https://scholar.google.com/citations?hl=en&amp;user=ipiTahoAAAAJ</w:t>
        </w:r>
      </w:hyperlink>
      <w:r>
        <w:rPr>
          <w:rFonts w:ascii="Times new roman" w:hAnsi="Times new roman"/>
        </w:rPr>
        <w:t xml:space="preserve"> </w:t>
      </w:r>
    </w:p>
    <w:p>
      <w:pPr>
        <w:pStyle w:val="BodyText"/>
        <w:numPr>
          <w:ilvl w:val="0"/>
          <w:numId w:val="1"/>
        </w:numPr>
        <w:tabs>
          <w:tab w:val="clear" w:pos="709"/>
          <w:tab w:val="left" w:pos="709" w:leader="none"/>
        </w:tabs>
        <w:bidi w:val="0"/>
        <w:spacing w:lineRule="auto" w:line="360" w:before="0" w:after="0"/>
        <w:ind w:hanging="283" w:start="709"/>
        <w:jc w:val="start"/>
        <w:rPr>
          <w:rFonts w:ascii="Times new roman" w:hAnsi="Times new roman"/>
        </w:rPr>
      </w:pPr>
      <w:hyperlink r:id="rId27">
        <w:r>
          <w:rPr>
            <w:rStyle w:val="Hyperlink"/>
            <w:rFonts w:ascii="Times new roman" w:hAnsi="Times new roman"/>
          </w:rPr>
          <w:t>https://journals.iaa.ac.tz/index.php/acai/article/download/369/151/935</w:t>
        </w:r>
      </w:hyperlink>
      <w:r>
        <w:rPr>
          <w:rFonts w:ascii="Times new roman" w:hAnsi="Times new roman"/>
        </w:rPr>
        <w:t xml:space="preserve"> </w:t>
      </w:r>
    </w:p>
    <w:p>
      <w:pPr>
        <w:pStyle w:val="BodyText"/>
        <w:numPr>
          <w:ilvl w:val="0"/>
          <w:numId w:val="1"/>
        </w:numPr>
        <w:tabs>
          <w:tab w:val="clear" w:pos="709"/>
          <w:tab w:val="left" w:pos="709" w:leader="none"/>
        </w:tabs>
        <w:bidi w:val="0"/>
        <w:spacing w:lineRule="auto" w:line="360"/>
        <w:ind w:hanging="283" w:start="709"/>
        <w:jc w:val="start"/>
        <w:rPr>
          <w:rFonts w:ascii="Times new roman" w:hAnsi="Times new roman"/>
        </w:rPr>
      </w:pPr>
      <w:hyperlink r:id="rId28">
        <w:r>
          <w:rPr>
            <w:rStyle w:val="Hyperlink"/>
            <w:rFonts w:ascii="Times new roman" w:hAnsi="Times new roman"/>
          </w:rPr>
          <w:t>https://scholar.google.com/citations?hl=en&amp;user=o7LTLI0AAAAJ</w:t>
        </w:r>
      </w:hyperlink>
      <w:r>
        <w:rPr>
          <w:rFonts w:ascii="Times new roman" w:hAnsi="Times new roman"/>
        </w:rPr>
        <w:t xml:space="preserve"> </w:t>
      </w:r>
    </w:p>
    <w:p>
      <w:pPr>
        <w:pStyle w:val="Normal"/>
        <w:bidi w:val="0"/>
        <w:spacing w:lineRule="auto" w:line="360"/>
        <w:jc w:val="start"/>
        <w:rPr>
          <w:rFonts w:ascii="Times new roman" w:hAnsi="Times new roman"/>
        </w:rPr>
      </w:pPr>
      <w:r>
        <w:rPr>
          <w:rFonts w:ascii="Times new roman" w:hAnsi="Times new roman"/>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1"/>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US"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Hyperlink">
    <w:name w:val="Hyperlink"/>
    <w:rPr>
      <w:color w:val="000080"/>
      <w:u w:val="singl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tumishi.go.tz/uploads/documents/sw-1688121496-TANZANIA%20GOVERNMENT%20CYBERSECURITY%20STRATEGY%202022.pdf" TargetMode="External"/><Relationship Id="rId3" Type="http://schemas.openxmlformats.org/officeDocument/2006/relationships/hyperlink" Target="https://www.academia.edu/1925835/Cyber_Security_in_Tanzania_Proceedings_of_the_Cyber_Security_Mini_Confrece" TargetMode="External"/><Relationship Id="rId4" Type="http://schemas.openxmlformats.org/officeDocument/2006/relationships/hyperlink" Target="https://ebooks.rucu.ac.tz/storage/uploads/NDIMBO%20HERBERT.pdf" TargetMode="External"/><Relationship Id="rId5" Type="http://schemas.openxmlformats.org/officeDocument/2006/relationships/hyperlink" Target="https://libraryrepository.udsm.ac.tz/items/ef6253e4-2e09-474b-ba52-3a3b611ed2d1/full" TargetMode="External"/><Relationship Id="rId6" Type="http://schemas.openxmlformats.org/officeDocument/2006/relationships/hyperlink" Target="https://www.academia.edu/1925835/Cyber_Security_in_Tanzania_Proceedings_of_the_Cyber_Security_Mini_Confrece" TargetMode="External"/><Relationship Id="rId7" Type="http://schemas.openxmlformats.org/officeDocument/2006/relationships/hyperlink" Target="https://www.utumishi.go.tz/uploads/documents/sw-1688121496-TANZANIA%20GOVERNMENT%20CYBERSECURITY%20STRATEGY%202022.pdf" TargetMode="External"/><Relationship Id="rId8" Type="http://schemas.openxmlformats.org/officeDocument/2006/relationships/hyperlink" Target="https://ebooks.rucu.ac.tz/storage/uploads/NDIMBO%20HERBERT.pdf" TargetMode="External"/><Relationship Id="rId9" Type="http://schemas.openxmlformats.org/officeDocument/2006/relationships/hyperlink" Target="http://repository.iaa.ac.tz:8080/xmlui/handle/123456789/2451" TargetMode="External"/><Relationship Id="rId10" Type="http://schemas.openxmlformats.org/officeDocument/2006/relationships/hyperlink" Target="https://www.academia.edu/1925835/Cyber_Security_in_Tanzania_Proceedings_of_the_Cyber_Security_Mini_Confrece" TargetMode="External"/><Relationship Id="rId11" Type="http://schemas.openxmlformats.org/officeDocument/2006/relationships/hyperlink" Target="https://libraryrepository.udsm.ac.tz/items/ef6253e4-2e09-474b-ba52-3a3b611ed2d1/full" TargetMode="External"/><Relationship Id="rId12" Type="http://schemas.openxmlformats.org/officeDocument/2006/relationships/hyperlink" Target="https://www.academia.edu/1925835/Cyber_Security_in_Tanzania_Proceedings_of_the_Cyber_Security_Mini_Confrece" TargetMode="External"/><Relationship Id="rId13" Type="http://schemas.openxmlformats.org/officeDocument/2006/relationships/hyperlink" Target="https://ebooks.rucu.ac.tz/storage/uploads/NDIMBO%20HERBERT.pdf" TargetMode="External"/><Relationship Id="rId14" Type="http://schemas.openxmlformats.org/officeDocument/2006/relationships/hyperlink" Target="https://www.utumishi.go.tz/uploads/documents/sw-1688121496-TANZANIA%20GOVERNMENT%20CYBERSECURITY%20STRATEGY%202022.pdf" TargetMode="External"/><Relationship Id="rId15" Type="http://schemas.openxmlformats.org/officeDocument/2006/relationships/hyperlink" Target="http://repository.iaa.ac.tz:8080/xmlui/handle/123456789/2451" TargetMode="External"/><Relationship Id="rId16" Type="http://schemas.openxmlformats.org/officeDocument/2006/relationships/hyperlink" Target="https://www.ijfmr.com/papers/2024/1/14058.pdf" TargetMode="External"/><Relationship Id="rId17" Type="http://schemas.openxmlformats.org/officeDocument/2006/relationships/hyperlink" Target="https://www.utumishi.go.tz/uploads/documents/sw-1688121496-TANZANIA%20GOVERNMENT%20CYBERSECURITY%20STRATEGY%202022.pdf" TargetMode="External"/><Relationship Id="rId18" Type="http://schemas.openxmlformats.org/officeDocument/2006/relationships/hyperlink" Target="https://ebooks.rucu.ac.tz/storage/uploads/NDIMBO%20HERBERT.pdf" TargetMode="External"/><Relationship Id="rId19" Type="http://schemas.openxmlformats.org/officeDocument/2006/relationships/hyperlink" Target="https://www.ijfmr.com/papers/2024/1/14058.pdf" TargetMode="External"/><Relationship Id="rId20" Type="http://schemas.openxmlformats.org/officeDocument/2006/relationships/hyperlink" Target="https://www.academia.edu/1925835/Cyber_Security_in_Tanzania_Proceedings_of_the_Cyber_Security_Mini_Confrece" TargetMode="External"/><Relationship Id="rId21" Type="http://schemas.openxmlformats.org/officeDocument/2006/relationships/hyperlink" Target="https://libraryrepository.udsm.ac.tz/items/ef6253e4-2e09-474b-ba52-3a3b611ed2d1/full" TargetMode="External"/><Relationship Id="rId22" Type="http://schemas.openxmlformats.org/officeDocument/2006/relationships/hyperlink" Target="http://repository.iaa.ac.tz:8080/xmlui/handle/123456789/2451" TargetMode="External"/><Relationship Id="rId23" Type="http://schemas.openxmlformats.org/officeDocument/2006/relationships/hyperlink" Target="https://flashnet.co.tz/solutions/cyber-security/" TargetMode="External"/><Relationship Id="rId24" Type="http://schemas.openxmlformats.org/officeDocument/2006/relationships/hyperlink" Target="https://flashnet.co.tz/array/" TargetMode="External"/><Relationship Id="rId25" Type="http://schemas.openxmlformats.org/officeDocument/2006/relationships/hyperlink" Target="https://scholar.google.com/citations?hl=en&amp;mauthors=label%3Acybersecurity&amp;view_op=search_authors" TargetMode="External"/><Relationship Id="rId26" Type="http://schemas.openxmlformats.org/officeDocument/2006/relationships/hyperlink" Target="https://scholar.google.com/citations?hl=en&amp;user=ipiTahoAAAAJ" TargetMode="External"/><Relationship Id="rId27" Type="http://schemas.openxmlformats.org/officeDocument/2006/relationships/hyperlink" Target="https://journals.iaa.ac.tz/index.php/acai/article/download/369/151/935" TargetMode="External"/><Relationship Id="rId28" Type="http://schemas.openxmlformats.org/officeDocument/2006/relationships/hyperlink" Target="https://scholar.google.com/citations?hl=en&amp;user=o7LTLI0AAAAJ" TargetMode="Externa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LibreOffice/25.8.3.2$Linux_X86_64 LibreOffice_project/580$Build-2</Application>
  <AppVersion>15.0000</AppVersion>
  <Pages>4</Pages>
  <Words>835</Words>
  <Characters>6680</Characters>
  <CharactersWithSpaces>7458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2025-12-18T13:46:35Z</dcterms:created>
  <dc:creator/>
  <dc:description/>
  <dc:language>en-US</dc:language>
  <cp:lastModifiedBy/>
  <dcterms:modified xsi:type="dcterms:W3CDTF">2025-12-18T13:52:27Z</dcterms:modified>
  <cp:revision>1</cp:revision>
  <dc:subject/>
  <dc:title/>
</cp:coreProperties>
</file>