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77137" w14:textId="2A2B7E5E" w:rsidR="00F67C48" w:rsidRDefault="007C62E5" w:rsidP="00F67C48">
      <w:r>
        <w:t xml:space="preserve">. </w:t>
      </w:r>
    </w:p>
    <w:p w14:paraId="757D9726" w14:textId="343469C3" w:rsidR="00166DEB" w:rsidRDefault="00166DEB" w:rsidP="00F67C48">
      <w:r>
        <w:t xml:space="preserve">The following are </w:t>
      </w:r>
      <w:r w:rsidR="002A02F7">
        <w:t xml:space="preserve">the literature </w:t>
      </w:r>
      <w:r w:rsidR="003C0CD3">
        <w:t>related</w:t>
      </w:r>
      <w:r w:rsidR="0041026A">
        <w:t xml:space="preserve"> to the research problems on </w:t>
      </w:r>
      <w:r w:rsidR="003C0CD3">
        <w:t xml:space="preserve">the Literature Review on AI Accelerating Scientific Discovery. </w:t>
      </w:r>
    </w:p>
    <w:p w14:paraId="7C365026" w14:textId="77777777" w:rsidR="007C62E5" w:rsidRDefault="007C62E5" w:rsidP="00F67C48"/>
    <w:p w14:paraId="10BFBFCC" w14:textId="2B1521E8" w:rsidR="00F67C48" w:rsidRDefault="00E224F6" w:rsidP="00F67C48">
      <w:r>
        <w:t>1</w:t>
      </w:r>
      <w:r w:rsidR="00F67C48">
        <w:t xml:space="preserve">. Accelerating Scientific Discoveries Through Data-Driven Innovations </w:t>
      </w:r>
    </w:p>
    <w:p w14:paraId="272DC150" w14:textId="77777777" w:rsidR="00F67C48" w:rsidRDefault="00F67C48" w:rsidP="00F67C48"/>
    <w:p w14:paraId="2AD32891" w14:textId="3A0DD6CF" w:rsidR="00F67C48" w:rsidRDefault="00F67C48" w:rsidP="00F67C48">
      <w:r>
        <w:t>Published in November 2023, this review article by a team of researchers, including contributions from experts in AI/ML and computational sciences, provides a foundational overview of how data-driven innovations, particularly AI and ML, are transforming</w:t>
      </w:r>
    </w:p>
    <w:p w14:paraId="01C81972" w14:textId="253B58BB" w:rsidR="00F67C48" w:rsidRDefault="006761F9" w:rsidP="00F67C48">
      <w:r>
        <w:t>Th</w:t>
      </w:r>
      <w:r w:rsidR="00F67C48">
        <w:t>e primary objective is to showcase strategies that integrate AI/ML with domain-specific knowledge and high-performance computing (HPC) to overcome barriers in complex scientific domains. The authors emphasize the need for cross-disciplinary approaches, as traditional methods often falter in high-dimensional, data-limited environments.</w:t>
      </w:r>
    </w:p>
    <w:p w14:paraId="7484EAED" w14:textId="77777777" w:rsidR="00F67C48" w:rsidRDefault="00F67C48" w:rsidP="00F67C48"/>
    <w:p w14:paraId="2A356F00" w14:textId="77777777" w:rsidR="00F67C48" w:rsidRDefault="00F67C48" w:rsidP="00F67C48">
      <w:r>
        <w:t xml:space="preserve">Methodologically, the review synthesizes recent advancements across multiple fields. It discusses knowledge-driven and physics-informed ML models that incorporate prior scientific understanding to improve accuracy in sparse data scenarios. For instance, in materials science, the article highlights techniques like strain data augmentation for predicting inorganic crystal energies, where ML models optimize geometries and forecast properties more efficiently than classical simulations. In domain adaptation (DA), it covers methods such as MROT (Multi-Relational Optimal Transport) for unsupervised and semi-supervised learning in molecular regression tasks, enabling better generalization from limited datasets. Quantum computing integrations are explored through algorithms that simulate gene regulatory networks, demonstrating AI's potential in biology. Real-time applications include deep learning for detecting internal short circuits in lithium-ion batteries via long-sequence voltage forecasting, which enhances safety and performance in energy research. The review also addresses multi-objective optimization in molecular design, advocating for Pareto-based approaches that balance competing properties without reductive </w:t>
      </w:r>
      <w:proofErr w:type="spellStart"/>
      <w:r>
        <w:t>scalarization</w:t>
      </w:r>
      <w:proofErr w:type="spellEnd"/>
      <w:r>
        <w:t>. Bayesian methods for handling uncertainty in experimental design and HPC resource allocation for virtual screening are presented as critical for scaling discoveries.</w:t>
      </w:r>
    </w:p>
    <w:p w14:paraId="5EF028CB" w14:textId="77777777" w:rsidR="00F67C48" w:rsidRDefault="00F67C48" w:rsidP="00F67C48"/>
    <w:p w14:paraId="408EA2ED" w14:textId="7E09F62A" w:rsidR="00E224F6" w:rsidRDefault="00F67C48" w:rsidP="00F67C48">
      <w:r>
        <w:lastRenderedPageBreak/>
        <w:t>Key findings underscore that AI/ML excels in data-scarce regimes by leveraging transfer learning, physics-informed priors, and automated workflows. For example, in climate and physics research, these tools enable predictive modeling of chaotic systems, while in chemistry, they accelerate drug-like molecule generation. The authors note that while AI reduces computational costs and speeds up iterations, challenges remain in interpretability, ethical data use, and integration with experimental validation. Implications for the field are profound: this work lays the groundwork for AI as an enabler of "closed-loop" discovery pipelines, where models iteratively refine hypotheses based on new data. It calls for increased investment in interdisciplinary training and infrastructure to fully realize AI's potential, influencing subsequent developments in AI co-scientist systems.</w:t>
      </w:r>
    </w:p>
    <w:p w14:paraId="3F0890E7" w14:textId="33B5E750" w:rsidR="00F67C48" w:rsidRDefault="00F67C48" w:rsidP="00F67C48">
      <w:r>
        <w:t xml:space="preserve"> 2. Accelerating Scientific Breakthroughs with an AI Co-Scientist </w:t>
      </w:r>
    </w:p>
    <w:p w14:paraId="7F77E22B" w14:textId="77777777" w:rsidR="00307984" w:rsidRDefault="00F67C48" w:rsidP="00F67C48">
      <w:r>
        <w:t>Building on earlier foundational reviews, this February 2025 article from Google Research introduces a practical AI system designed as a virtual collaborator to generate novel hypotheses and research proposals, marking a shift toward applied AI in biomedicine</w:t>
      </w:r>
      <w:r w:rsidR="00307984">
        <w:t xml:space="preserve">. </w:t>
      </w:r>
    </w:p>
    <w:p w14:paraId="56D54DE4" w14:textId="6DC6D48E" w:rsidR="00F67C48" w:rsidRDefault="00F67C48" w:rsidP="00F67C48">
      <w:r>
        <w:t>The objective is to create a multi-agent AI framework that augments human scientists by automating creative and iterative aspects of research, addressing bottlenecks like literature overload and interdisciplinary synthesis</w:t>
      </w:r>
    </w:p>
    <w:p w14:paraId="110B5073" w14:textId="71E068DB" w:rsidR="00F67C48" w:rsidRDefault="00F67C48" w:rsidP="00F67C48">
      <w:r>
        <w:t xml:space="preserve">The methodology revolves around a system built on Gemini 2.0, comprising specialized agents inspired by the scientific method: Generation (for initial ideas), Reflection (for critique), Ranking (for evaluation), Evolution (for iterative improvement), Proximity (for relevance checking), and Meta-review (for oversight). A Supervisor agent parses user-defined research goals into plans, allocates tasks, and incorporates tools like web search and domain-specific models for grounding. The system employs test-time compute scaling through self-play debates, ranking tournaments, and evolutionary processes to enhance output quality without retraining. Evaluation uses the GPQA benchmark for reasoning accuracy, where higher </w:t>
      </w:r>
      <w:proofErr w:type="spellStart"/>
      <w:r>
        <w:t>Elo</w:t>
      </w:r>
      <w:proofErr w:type="spellEnd"/>
      <w:r>
        <w:t xml:space="preserve"> ratings (from automated debates) correlate with better performance. Real-world validation involves end-to-end experiments in drug repurposing, target discovery, and antimicrobial resistance mechanisms, with hypotheses tested in wet labs.</w:t>
      </w:r>
    </w:p>
    <w:p w14:paraId="7A1A0E63" w14:textId="77777777" w:rsidR="00F67C48" w:rsidRDefault="00F67C48" w:rsidP="00F67C48">
      <w:r>
        <w:t xml:space="preserve">Findings demonstrate the system's superiority: it outperforms baselines and human experts in novelty, impact, and preference on curated goals, as assessed by domain experts. For example, in acute myeloid leukemia (AML) drug repurposing, it proposed candidates that inhibited tumor viability in vitro; in liver fibrosis target discovery, it identified epigenetic targets with anti-fibrotic effects in organoids; and it re-discovered unpublished gene transfer mechanisms in antimicrobial resistance. The AI's use of </w:t>
      </w:r>
      <w:r>
        <w:lastRenderedPageBreak/>
        <w:t>recursive self-critique and tool integration led to higher factuality and transdisciplinary insights. However, limitations include incomplete literature handling and the need for larger-scale expert validations.</w:t>
      </w:r>
    </w:p>
    <w:p w14:paraId="54A6D829" w14:textId="77777777" w:rsidR="00F67C48" w:rsidRDefault="00F67C48" w:rsidP="00F67C48"/>
    <w:p w14:paraId="10E448D5" w14:textId="7F0CB459" w:rsidR="00F67C48" w:rsidRDefault="00F67C48" w:rsidP="00F67C48">
      <w:r>
        <w:t>Implications are transformative: this AI co-scientist accelerates discoveries by enabling rapid hypothesis iteration, potentially reducing development times in drug research. It promotes AI-human collaboration, with plans for broader access via Trusted Tester programs. This study advances the field by moving from theoretical AI applications to deployable systems, bridging the gap between data-driven innovations and real-world impact, and paving the way for benchmarks like those developed later in 2025</w:t>
      </w:r>
    </w:p>
    <w:p w14:paraId="1EBFCB49" w14:textId="0B384B0B" w:rsidR="00F67C48" w:rsidRDefault="00F67C48" w:rsidP="00F67C48">
      <w:r>
        <w:t xml:space="preserve">3. Evaluating AI's Ability to Perform Scientific Research Tasks: </w:t>
      </w:r>
      <w:proofErr w:type="spellStart"/>
      <w:r>
        <w:t>FrontierScience</w:t>
      </w:r>
      <w:proofErr w:type="spellEnd"/>
      <w:r>
        <w:t xml:space="preserve"> Benchmark </w:t>
      </w:r>
    </w:p>
    <w:p w14:paraId="6958E772" w14:textId="451A5FF4" w:rsidR="00F67C48" w:rsidRDefault="00F67C48" w:rsidP="00F67C48">
      <w:r>
        <w:t xml:space="preserve">The most recent study, released in December 2025 by </w:t>
      </w:r>
      <w:proofErr w:type="spellStart"/>
      <w:r>
        <w:t>OpenAI</w:t>
      </w:r>
      <w:proofErr w:type="spellEnd"/>
      <w:r>
        <w:t>, focuses on rigorously benchmarking AI's scientific reasoning capabilities, providing empirical evidence of progress and gaps in AI-driven discovery.</w:t>
      </w:r>
      <w:r w:rsidR="00B522B6">
        <w:t xml:space="preserve"> </w:t>
      </w:r>
      <w:r>
        <w:t>The purpose is to assess frontier models on expert-level tasks in physics, chemistry, and biology, emphasizing deep reasoning, hypothesis refinement, and cross-field synthesis to guide future AI improvements for research acceleration</w:t>
      </w:r>
    </w:p>
    <w:p w14:paraId="1B4124D6" w14:textId="038D2535" w:rsidR="00F67C48" w:rsidRDefault="00F67C48" w:rsidP="00F67C48">
      <w:r>
        <w:t xml:space="preserve">Methodologically, </w:t>
      </w:r>
      <w:proofErr w:type="spellStart"/>
      <w:r>
        <w:t>FrontierScience</w:t>
      </w:r>
      <w:proofErr w:type="spellEnd"/>
      <w:r>
        <w:t xml:space="preserve"> comprises over 700 questions divided into two tracks: Olympiad (100 constrained, short-answer problems at or above international </w:t>
      </w:r>
      <w:proofErr w:type="spellStart"/>
      <w:r>
        <w:t>olympiad</w:t>
      </w:r>
      <w:proofErr w:type="spellEnd"/>
      <w:r>
        <w:t xml:space="preserve"> difficulty, created by 42 medalists) and Research (60 open-ended subtasks by 45 PhD scientists, graded on a 10-point rubric). Questions undergo rigorous creation, review, and revision processes. Grading employs fuzzy matching for Olympiad and a GPT-5-based rubric evaluator for Research, with a passing threshold of 7/10. The benchmark includes open-sourced gold sets and held-out questions to prevent data contamination. Evaluations test models like GPT-5.2, Claude Opus 4.5, and Gemini 3 Pro, with varying reasoning efforts to explore compute scaling.</w:t>
      </w:r>
    </w:p>
    <w:p w14:paraId="7B5B337A" w14:textId="471B61D0" w:rsidR="00F67C48" w:rsidRDefault="00F67C48" w:rsidP="00F67C48">
      <w:r>
        <w:t>Results show GPT-5.2 leading with 77% accuracy on Olympiad and 25% on Research tracks, surpassing competitors (e.g., Gemini 3 Pro at 76% on Olympiad). Increased reasoning effort boosts performance, but models struggle with logical errors, calculations, niche facts, and open-ended tasks. Common pitfalls include flawed reasoning chains and incomplete syntheses, highlighting limitations in unstructured research.</w:t>
      </w:r>
    </w:p>
    <w:p w14:paraId="53343EAC" w14:textId="084BCDF4" w:rsidR="00F67C48" w:rsidRDefault="00F67C48" w:rsidP="00F67C48">
      <w:r>
        <w:t xml:space="preserve">Implications underscore AI's readiness for structured tasks while revealing needs for better open-ended capabilities. </w:t>
      </w:r>
      <w:proofErr w:type="spellStart"/>
      <w:r>
        <w:t>FrontierScience</w:t>
      </w:r>
      <w:proofErr w:type="spellEnd"/>
      <w:r>
        <w:t xml:space="preserve"> serves as a "north star" for AI development, suggesting that enhanced models could streamline scientific workflows, though it excludes aspects like multimodal data or real experiments. Future expansions aim to </w:t>
      </w:r>
      <w:r>
        <w:lastRenderedPageBreak/>
        <w:t>include more domains and real-world testing, reinforcing AI's role in discovery. This benchmark complements prior systems by quantifying capabilities, enabling targeted advancements.</w:t>
      </w:r>
    </w:p>
    <w:p w14:paraId="42A9FBC2" w14:textId="1A28DCD8" w:rsidR="00F67C48" w:rsidRDefault="00F67C48"/>
    <w:sectPr w:rsidR="00F67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48"/>
    <w:rsid w:val="00095C2F"/>
    <w:rsid w:val="00166DEB"/>
    <w:rsid w:val="002A02F7"/>
    <w:rsid w:val="00307984"/>
    <w:rsid w:val="0032469A"/>
    <w:rsid w:val="003A16E4"/>
    <w:rsid w:val="003C0CD3"/>
    <w:rsid w:val="0041026A"/>
    <w:rsid w:val="006761F9"/>
    <w:rsid w:val="006B347A"/>
    <w:rsid w:val="007C62E5"/>
    <w:rsid w:val="0093500C"/>
    <w:rsid w:val="00A71695"/>
    <w:rsid w:val="00B522B6"/>
    <w:rsid w:val="00C23BF6"/>
    <w:rsid w:val="00C76F9E"/>
    <w:rsid w:val="00E224F6"/>
    <w:rsid w:val="00EA2E92"/>
    <w:rsid w:val="00ED0142"/>
    <w:rsid w:val="00F325D5"/>
    <w:rsid w:val="00F67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F71441"/>
  <w15:chartTrackingRefBased/>
  <w15:docId w15:val="{CAAE5A78-48A3-E14E-B53D-CB87921D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C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C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C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C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C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C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C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C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C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C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C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C48"/>
    <w:rPr>
      <w:rFonts w:eastAsiaTheme="majorEastAsia" w:cstheme="majorBidi"/>
      <w:color w:val="272727" w:themeColor="text1" w:themeTint="D8"/>
    </w:rPr>
  </w:style>
  <w:style w:type="paragraph" w:styleId="Title">
    <w:name w:val="Title"/>
    <w:basedOn w:val="Normal"/>
    <w:next w:val="Normal"/>
    <w:link w:val="TitleChar"/>
    <w:uiPriority w:val="10"/>
    <w:qFormat/>
    <w:rsid w:val="00F67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C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C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C48"/>
    <w:pPr>
      <w:spacing w:before="160"/>
      <w:jc w:val="center"/>
    </w:pPr>
    <w:rPr>
      <w:i/>
      <w:iCs/>
      <w:color w:val="404040" w:themeColor="text1" w:themeTint="BF"/>
    </w:rPr>
  </w:style>
  <w:style w:type="character" w:customStyle="1" w:styleId="QuoteChar">
    <w:name w:val="Quote Char"/>
    <w:basedOn w:val="DefaultParagraphFont"/>
    <w:link w:val="Quote"/>
    <w:uiPriority w:val="29"/>
    <w:rsid w:val="00F67C48"/>
    <w:rPr>
      <w:i/>
      <w:iCs/>
      <w:color w:val="404040" w:themeColor="text1" w:themeTint="BF"/>
    </w:rPr>
  </w:style>
  <w:style w:type="paragraph" w:styleId="ListParagraph">
    <w:name w:val="List Paragraph"/>
    <w:basedOn w:val="Normal"/>
    <w:uiPriority w:val="34"/>
    <w:qFormat/>
    <w:rsid w:val="00F67C48"/>
    <w:pPr>
      <w:ind w:left="720"/>
      <w:contextualSpacing/>
    </w:pPr>
  </w:style>
  <w:style w:type="character" w:styleId="IntenseEmphasis">
    <w:name w:val="Intense Emphasis"/>
    <w:basedOn w:val="DefaultParagraphFont"/>
    <w:uiPriority w:val="21"/>
    <w:qFormat/>
    <w:rsid w:val="00F67C48"/>
    <w:rPr>
      <w:i/>
      <w:iCs/>
      <w:color w:val="0F4761" w:themeColor="accent1" w:themeShade="BF"/>
    </w:rPr>
  </w:style>
  <w:style w:type="paragraph" w:styleId="IntenseQuote">
    <w:name w:val="Intense Quote"/>
    <w:basedOn w:val="Normal"/>
    <w:next w:val="Normal"/>
    <w:link w:val="IntenseQuoteChar"/>
    <w:uiPriority w:val="30"/>
    <w:qFormat/>
    <w:rsid w:val="00F67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C48"/>
    <w:rPr>
      <w:i/>
      <w:iCs/>
      <w:color w:val="0F4761" w:themeColor="accent1" w:themeShade="BF"/>
    </w:rPr>
  </w:style>
  <w:style w:type="character" w:styleId="IntenseReference">
    <w:name w:val="Intense Reference"/>
    <w:basedOn w:val="DefaultParagraphFont"/>
    <w:uiPriority w:val="32"/>
    <w:qFormat/>
    <w:rsid w:val="00F67C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kinyunyu</dc:creator>
  <cp:keywords/>
  <dc:description/>
  <cp:lastModifiedBy>michael kinyunyu</cp:lastModifiedBy>
  <cp:revision>3</cp:revision>
  <dcterms:created xsi:type="dcterms:W3CDTF">2025-12-18T10:58:00Z</dcterms:created>
  <dcterms:modified xsi:type="dcterms:W3CDTF">2025-12-18T10:58:00Z</dcterms:modified>
</cp:coreProperties>
</file>