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25849" w14:textId="4099FF62" w:rsidR="009B5120" w:rsidRDefault="009B5120">
      <w:pPr>
        <w:pStyle w:val="NormalWeb"/>
      </w:pPr>
    </w:p>
    <w:p w14:paraId="2121CA74" w14:textId="2C6028D4" w:rsidR="009B5120" w:rsidRDefault="009B5120">
      <w:pPr>
        <w:rPr>
          <w:rFonts w:eastAsia="Times New Roman"/>
        </w:rPr>
      </w:pPr>
    </w:p>
    <w:p w14:paraId="28608721" w14:textId="77777777" w:rsidR="009B5120" w:rsidRDefault="009B5120">
      <w:pPr>
        <w:pStyle w:val="Heading1"/>
        <w:rPr>
          <w:rFonts w:eastAsia="Times New Roman"/>
        </w:rPr>
      </w:pPr>
      <w:r>
        <w:rPr>
          <w:rFonts w:eastAsia="Times New Roman"/>
        </w:rPr>
        <w:t>Background</w:t>
      </w:r>
    </w:p>
    <w:p w14:paraId="1A2CBF4D" w14:textId="77777777" w:rsidR="009B5120" w:rsidRDefault="009B5120">
      <w:pPr>
        <w:pStyle w:val="NormalWeb"/>
      </w:pPr>
      <w:r>
        <w:t xml:space="preserve">Soil-nutrient detection historically relies on wet-chemistry laboratory analyses (e.g., Kjeldahl, Olsen, Walkley–Black) that are accurate but slow, costly and low-density in space. Over the last two decades, rapid and proximal/remote sensing methods (VIS–NIR spectroscopy, hyperspectral imaging, portable X-ray fluorescence — pXRF, UAV/hyperspectral) have emerged to provide faster, cheaper, and higher-density soil information for mapping and precision agriculture. </w:t>
      </w:r>
    </w:p>
    <w:p w14:paraId="2771DBA9" w14:textId="4A7EDE2C" w:rsidR="009B5120" w:rsidRDefault="009B5120" w:rsidP="009B5120">
      <w:pPr>
        <w:pStyle w:val="Heading1"/>
        <w:rPr>
          <w:rFonts w:eastAsia="Times New Roman"/>
        </w:rPr>
      </w:pPr>
      <w:r>
        <w:rPr>
          <w:rFonts w:eastAsia="Times New Roman"/>
        </w:rPr>
        <w:t xml:space="preserve">Introduction </w:t>
      </w:r>
    </w:p>
    <w:p w14:paraId="2264C46D" w14:textId="77777777" w:rsidR="00B77C1F" w:rsidRDefault="00B77C1F" w:rsidP="004C6CD8">
      <w:r>
        <w:t>Soil nutrient detection is the process of identifying and measuring the type and amount of essential nutrients present in soil that are needed for plant growth.</w:t>
      </w:r>
    </w:p>
    <w:p w14:paraId="67A99DB7" w14:textId="77777777" w:rsidR="00B77C1F" w:rsidRDefault="00B77C1F" w:rsidP="004C6CD8">
      <w:r>
        <w:t>Simple definition</w:t>
      </w:r>
    </w:p>
    <w:p w14:paraId="37FF373D" w14:textId="77777777" w:rsidR="00B77C1F" w:rsidRPr="004C6CD8" w:rsidRDefault="00B77C1F" w:rsidP="004C6CD8">
      <w:r>
        <w:t>Soil nutrient detection means testing soil to know which nutrients are available, how much of each nutrient is present, and whether the soil has enough or lacks certain nutrients such as nitrogen (N), phosphorus (P), potassium (K), calcium (Ca), magnesium (Mg), and micronutrients</w:t>
      </w:r>
    </w:p>
    <w:p w14:paraId="5604AE12" w14:textId="77777777" w:rsidR="009B5120" w:rsidRDefault="009B5120" w:rsidP="009B5120">
      <w:pPr>
        <w:numPr>
          <w:ilvl w:val="0"/>
          <w:numId w:val="1"/>
        </w:numPr>
        <w:spacing w:before="100" w:beforeAutospacing="1" w:after="100" w:afterAutospacing="1" w:line="240" w:lineRule="auto"/>
        <w:rPr>
          <w:rFonts w:eastAsia="Times New Roman"/>
        </w:rPr>
      </w:pPr>
      <w:r>
        <w:rPr>
          <w:rStyle w:val="Strong"/>
          <w:rFonts w:eastAsia="Times New Roman"/>
        </w:rPr>
        <w:t>VIS–NIR / VNIR spectroscopy</w:t>
      </w:r>
      <w:r>
        <w:rPr>
          <w:rFonts w:eastAsia="Times New Roman"/>
        </w:rPr>
        <w:t xml:space="preserve"> (laboratory, field contact probes, airborne/spaceborne hyperspectral) for organic carbon, N and some indirect indicators.</w:t>
      </w:r>
    </w:p>
    <w:p w14:paraId="0C96D3EA" w14:textId="77777777" w:rsidR="009B5120" w:rsidRDefault="009B5120" w:rsidP="009B5120">
      <w:pPr>
        <w:numPr>
          <w:ilvl w:val="0"/>
          <w:numId w:val="1"/>
        </w:numPr>
        <w:spacing w:before="100" w:beforeAutospacing="1" w:after="100" w:afterAutospacing="1" w:line="240" w:lineRule="auto"/>
        <w:rPr>
          <w:rFonts w:eastAsia="Times New Roman"/>
        </w:rPr>
      </w:pPr>
      <w:r>
        <w:rPr>
          <w:rStyle w:val="Strong"/>
          <w:rFonts w:eastAsia="Times New Roman"/>
        </w:rPr>
        <w:t>Hyperspectral remote sensing / UAV</w:t>
      </w:r>
      <w:r>
        <w:rPr>
          <w:rFonts w:eastAsia="Times New Roman"/>
        </w:rPr>
        <w:t xml:space="preserve"> for spatial mapping at field to regional scales.</w:t>
      </w:r>
    </w:p>
    <w:p w14:paraId="114C76A7" w14:textId="77777777" w:rsidR="009B5120" w:rsidRDefault="009B5120" w:rsidP="009B5120">
      <w:pPr>
        <w:numPr>
          <w:ilvl w:val="0"/>
          <w:numId w:val="1"/>
        </w:numPr>
        <w:spacing w:before="100" w:beforeAutospacing="1" w:after="100" w:afterAutospacing="1" w:line="240" w:lineRule="auto"/>
        <w:rPr>
          <w:rFonts w:eastAsia="Times New Roman"/>
        </w:rPr>
      </w:pPr>
      <w:r>
        <w:rPr>
          <w:rStyle w:val="Strong"/>
          <w:rFonts w:eastAsia="Times New Roman"/>
        </w:rPr>
        <w:t>Portable XRF (pXRF)</w:t>
      </w:r>
      <w:r>
        <w:rPr>
          <w:rFonts w:eastAsia="Times New Roman"/>
        </w:rPr>
        <w:t xml:space="preserve"> for fast elemental analysis (K, Ca, Fe, Mn, etc.), especially useful for metal/elemental nutrients and contaminants.</w:t>
      </w:r>
      <w:r>
        <w:rPr>
          <w:rFonts w:eastAsia="Times New Roman"/>
        </w:rPr>
        <w:br/>
        <w:t xml:space="preserve">These approaches typically pair spectral measurements with multivariate calibration or machine-learning models (PLSR, MLR, SVM, RF, neural nets) trained on reference lab analyses. </w:t>
      </w:r>
    </w:p>
    <w:p w14:paraId="22AF1EF2" w14:textId="621407F6" w:rsidR="009B5120" w:rsidRPr="00D50683" w:rsidRDefault="009B5120" w:rsidP="00D50683">
      <w:pPr>
        <w:pStyle w:val="Heading1"/>
        <w:rPr>
          <w:rFonts w:eastAsia="Times New Roman"/>
        </w:rPr>
      </w:pPr>
      <w:r>
        <w:rPr>
          <w:rFonts w:eastAsia="Times New Roman"/>
        </w:rPr>
        <w:t>Importance</w:t>
      </w:r>
    </w:p>
    <w:p w14:paraId="3342E33C" w14:textId="77777777" w:rsidR="009B5120" w:rsidRDefault="009B5120" w:rsidP="009B5120">
      <w:pPr>
        <w:numPr>
          <w:ilvl w:val="0"/>
          <w:numId w:val="2"/>
        </w:numPr>
        <w:spacing w:before="100" w:beforeAutospacing="1" w:after="100" w:afterAutospacing="1" w:line="240" w:lineRule="auto"/>
        <w:rPr>
          <w:rFonts w:eastAsia="Times New Roman"/>
        </w:rPr>
      </w:pPr>
      <w:r>
        <w:rPr>
          <w:rFonts w:eastAsia="Times New Roman"/>
        </w:rPr>
        <w:t xml:space="preserve">It enables </w:t>
      </w:r>
      <w:r>
        <w:rPr>
          <w:rStyle w:val="Strong"/>
          <w:rFonts w:eastAsia="Times New Roman"/>
        </w:rPr>
        <w:t>precision fertilizer management</w:t>
      </w:r>
      <w:r>
        <w:rPr>
          <w:rFonts w:eastAsia="Times New Roman"/>
        </w:rPr>
        <w:t xml:space="preserve"> (reduce cost, environmental losses).</w:t>
      </w:r>
    </w:p>
    <w:p w14:paraId="28144CEA" w14:textId="77777777" w:rsidR="009B5120" w:rsidRDefault="009B5120" w:rsidP="009B5120">
      <w:pPr>
        <w:numPr>
          <w:ilvl w:val="0"/>
          <w:numId w:val="2"/>
        </w:numPr>
        <w:spacing w:before="100" w:beforeAutospacing="1" w:after="100" w:afterAutospacing="1" w:line="240" w:lineRule="auto"/>
        <w:rPr>
          <w:rFonts w:eastAsia="Times New Roman"/>
        </w:rPr>
      </w:pPr>
      <w:r>
        <w:rPr>
          <w:rFonts w:eastAsia="Times New Roman"/>
        </w:rPr>
        <w:t xml:space="preserve">It supports </w:t>
      </w:r>
      <w:r>
        <w:rPr>
          <w:rStyle w:val="Strong"/>
          <w:rFonts w:eastAsia="Times New Roman"/>
        </w:rPr>
        <w:t>high-resolution soil mapping</w:t>
      </w:r>
      <w:r>
        <w:rPr>
          <w:rFonts w:eastAsia="Times New Roman"/>
        </w:rPr>
        <w:t xml:space="preserve"> for land management, carbon accounting and monitoring degradation.</w:t>
      </w:r>
    </w:p>
    <w:p w14:paraId="2DD777DD" w14:textId="77777777" w:rsidR="009B5120" w:rsidRDefault="009B5120" w:rsidP="009B5120">
      <w:pPr>
        <w:numPr>
          <w:ilvl w:val="0"/>
          <w:numId w:val="2"/>
        </w:numPr>
        <w:spacing w:before="100" w:beforeAutospacing="1" w:after="100" w:afterAutospacing="1" w:line="240" w:lineRule="auto"/>
        <w:rPr>
          <w:rFonts w:eastAsia="Times New Roman"/>
        </w:rPr>
      </w:pPr>
      <w:r>
        <w:rPr>
          <w:rFonts w:eastAsia="Times New Roman"/>
        </w:rPr>
        <w:t xml:space="preserve">It allows </w:t>
      </w:r>
      <w:r>
        <w:rPr>
          <w:rStyle w:val="Strong"/>
          <w:rFonts w:eastAsia="Times New Roman"/>
        </w:rPr>
        <w:t>near real-time decision support</w:t>
      </w:r>
      <w:r>
        <w:rPr>
          <w:rFonts w:eastAsia="Times New Roman"/>
        </w:rPr>
        <w:t xml:space="preserve"> for farmers and planners (variable-rate application, remediation). </w:t>
      </w:r>
    </w:p>
    <w:p w14:paraId="247FE81F" w14:textId="21D72431" w:rsidR="009B5120" w:rsidRPr="00D413D5" w:rsidRDefault="009B5120" w:rsidP="00D413D5">
      <w:pPr>
        <w:pStyle w:val="Heading1"/>
        <w:rPr>
          <w:rFonts w:eastAsia="Times New Roman"/>
        </w:rPr>
      </w:pPr>
      <w:r>
        <w:rPr>
          <w:rFonts w:eastAsia="Times New Roman"/>
        </w:rPr>
        <w:lastRenderedPageBreak/>
        <w:t xml:space="preserve">Challenges </w:t>
      </w:r>
    </w:p>
    <w:p w14:paraId="59F8BD49" w14:textId="77777777" w:rsidR="009B5120" w:rsidRDefault="009B5120" w:rsidP="009B5120">
      <w:pPr>
        <w:numPr>
          <w:ilvl w:val="0"/>
          <w:numId w:val="3"/>
        </w:numPr>
        <w:spacing w:before="100" w:beforeAutospacing="1" w:after="100" w:afterAutospacing="1" w:line="240" w:lineRule="auto"/>
        <w:rPr>
          <w:rFonts w:eastAsia="Times New Roman"/>
        </w:rPr>
      </w:pPr>
      <w:r>
        <w:rPr>
          <w:rStyle w:val="Strong"/>
          <w:rFonts w:eastAsia="Times New Roman"/>
        </w:rPr>
        <w:t>Weak direct spectral signals</w:t>
      </w:r>
      <w:r>
        <w:rPr>
          <w:rFonts w:eastAsia="Times New Roman"/>
        </w:rPr>
        <w:t xml:space="preserve"> — many nutrients (N, P) lack strong, unique absorption features in the VIS–NIR range, so predictions must rely on indirect correlations (covarying soil constituents). This limits accuracy. </w:t>
      </w:r>
    </w:p>
    <w:p w14:paraId="3682730F" w14:textId="77777777" w:rsidR="009B5120" w:rsidRDefault="009B5120" w:rsidP="009B5120">
      <w:pPr>
        <w:numPr>
          <w:ilvl w:val="0"/>
          <w:numId w:val="3"/>
        </w:numPr>
        <w:spacing w:before="100" w:beforeAutospacing="1" w:after="100" w:afterAutospacing="1" w:line="240" w:lineRule="auto"/>
        <w:rPr>
          <w:rFonts w:eastAsia="Times New Roman"/>
        </w:rPr>
      </w:pPr>
      <w:r>
        <w:rPr>
          <w:rStyle w:val="Strong"/>
          <w:rFonts w:eastAsia="Times New Roman"/>
        </w:rPr>
        <w:t>Matrix and soil-texture effects</w:t>
      </w:r>
      <w:r>
        <w:rPr>
          <w:rFonts w:eastAsia="Times New Roman"/>
        </w:rPr>
        <w:t xml:space="preserve"> — sample matrix (clay, moisture, organic matter, mineralogy) strongly affects both spectroscopy and pXRF signals and causes transferability problems across sites. </w:t>
      </w:r>
    </w:p>
    <w:p w14:paraId="4584E29C" w14:textId="77777777" w:rsidR="009B5120" w:rsidRDefault="009B5120" w:rsidP="009B5120">
      <w:pPr>
        <w:numPr>
          <w:ilvl w:val="0"/>
          <w:numId w:val="3"/>
        </w:numPr>
        <w:spacing w:before="100" w:beforeAutospacing="1" w:after="100" w:afterAutospacing="1" w:line="240" w:lineRule="auto"/>
        <w:rPr>
          <w:rFonts w:eastAsia="Times New Roman"/>
        </w:rPr>
      </w:pPr>
      <w:r>
        <w:rPr>
          <w:rStyle w:val="Strong"/>
          <w:rFonts w:eastAsia="Times New Roman"/>
        </w:rPr>
        <w:t>Calibration transferability &amp; sample representativeness</w:t>
      </w:r>
      <w:r>
        <w:rPr>
          <w:rFonts w:eastAsia="Times New Roman"/>
        </w:rPr>
        <w:t xml:space="preserve"> — models trained in one region often perform poorly elsewhere unless the spectral library covers the full range of soil variability. Large, standardized spectral libraries are expensive to build. </w:t>
      </w:r>
    </w:p>
    <w:p w14:paraId="15F6648C" w14:textId="77777777" w:rsidR="009B5120" w:rsidRDefault="009B5120" w:rsidP="009B5120">
      <w:pPr>
        <w:numPr>
          <w:ilvl w:val="0"/>
          <w:numId w:val="3"/>
        </w:numPr>
        <w:spacing w:before="100" w:beforeAutospacing="1" w:after="100" w:afterAutospacing="1" w:line="240" w:lineRule="auto"/>
        <w:rPr>
          <w:rFonts w:eastAsia="Times New Roman"/>
        </w:rPr>
      </w:pPr>
      <w:r>
        <w:rPr>
          <w:rStyle w:val="Strong"/>
          <w:rFonts w:eastAsia="Times New Roman"/>
        </w:rPr>
        <w:t>Detection limits and element types</w:t>
      </w:r>
      <w:r>
        <w:rPr>
          <w:rFonts w:eastAsia="Times New Roman"/>
        </w:rPr>
        <w:t xml:space="preserve"> — pXRF is excellent for heavier elements and minerals but has limits for low-Z elements and low concentrations; remote imagery suffers from mixed pixels, vegetation cover and atmospheric effects. </w:t>
      </w:r>
    </w:p>
    <w:p w14:paraId="3C3B2355" w14:textId="695696DD" w:rsidR="009B5120" w:rsidRPr="00327A88" w:rsidRDefault="0038559C" w:rsidP="00327A88">
      <w:pPr>
        <w:pStyle w:val="Heading1"/>
        <w:rPr>
          <w:rFonts w:eastAsia="Times New Roman"/>
        </w:rPr>
      </w:pPr>
      <w:r>
        <w:rPr>
          <w:rFonts w:eastAsia="Times New Roman"/>
        </w:rPr>
        <w:t>Solved</w:t>
      </w:r>
      <w:r w:rsidR="009B5120">
        <w:rPr>
          <w:rFonts w:eastAsia="Times New Roman"/>
        </w:rPr>
        <w:t xml:space="preserve"> approaches shown empirically to improve performance</w:t>
      </w:r>
    </w:p>
    <w:p w14:paraId="43C7458D" w14:textId="51687869" w:rsidR="009B5120" w:rsidRDefault="009B5120" w:rsidP="009B5120">
      <w:pPr>
        <w:numPr>
          <w:ilvl w:val="0"/>
          <w:numId w:val="4"/>
        </w:numPr>
        <w:spacing w:before="100" w:beforeAutospacing="1" w:after="100" w:afterAutospacing="1" w:line="240" w:lineRule="auto"/>
        <w:rPr>
          <w:rFonts w:eastAsia="Times New Roman"/>
        </w:rPr>
      </w:pPr>
      <w:r>
        <w:rPr>
          <w:rStyle w:val="Strong"/>
          <w:rFonts w:eastAsia="Times New Roman"/>
        </w:rPr>
        <w:t xml:space="preserve">Large, standardized spectral libraries </w:t>
      </w:r>
      <w:r w:rsidR="006767FF">
        <w:rPr>
          <w:rStyle w:val="Strong"/>
          <w:rFonts w:eastAsia="Times New Roman"/>
        </w:rPr>
        <w:t>or</w:t>
      </w:r>
      <w:r>
        <w:rPr>
          <w:rStyle w:val="Strong"/>
          <w:rFonts w:eastAsia="Times New Roman"/>
        </w:rPr>
        <w:t xml:space="preserve"> carefully-designed sampling</w:t>
      </w:r>
      <w:r>
        <w:rPr>
          <w:rFonts w:eastAsia="Times New Roman"/>
        </w:rPr>
        <w:t xml:space="preserve"> to cover soil diversity (improves model generality). </w:t>
      </w:r>
    </w:p>
    <w:p w14:paraId="4EC40B9D" w14:textId="77777777" w:rsidR="009B5120" w:rsidRDefault="009B5120" w:rsidP="009B5120">
      <w:pPr>
        <w:numPr>
          <w:ilvl w:val="0"/>
          <w:numId w:val="4"/>
        </w:numPr>
        <w:spacing w:before="100" w:beforeAutospacing="1" w:after="100" w:afterAutospacing="1" w:line="240" w:lineRule="auto"/>
        <w:rPr>
          <w:rFonts w:eastAsia="Times New Roman"/>
        </w:rPr>
      </w:pPr>
      <w:r>
        <w:rPr>
          <w:rStyle w:val="Strong"/>
          <w:rFonts w:eastAsia="Times New Roman"/>
        </w:rPr>
        <w:t>Preprocessing + normalization to reduce matrix effects</w:t>
      </w:r>
      <w:r>
        <w:rPr>
          <w:rFonts w:eastAsia="Times New Roman"/>
        </w:rPr>
        <w:t xml:space="preserve"> (e.g., Compton normalization for XRF; spectral preprocessing for VIS–NIR). </w:t>
      </w:r>
    </w:p>
    <w:p w14:paraId="51FE5442" w14:textId="77777777" w:rsidR="009B5120" w:rsidRDefault="009B5120" w:rsidP="009B5120">
      <w:pPr>
        <w:numPr>
          <w:ilvl w:val="0"/>
          <w:numId w:val="4"/>
        </w:numPr>
        <w:spacing w:before="100" w:beforeAutospacing="1" w:after="100" w:afterAutospacing="1" w:line="240" w:lineRule="auto"/>
        <w:rPr>
          <w:rFonts w:eastAsia="Times New Roman"/>
        </w:rPr>
      </w:pPr>
      <w:r>
        <w:rPr>
          <w:rStyle w:val="Strong"/>
          <w:rFonts w:eastAsia="Times New Roman"/>
        </w:rPr>
        <w:t>Multivariate &amp; machine-learning models</w:t>
      </w:r>
      <w:r>
        <w:rPr>
          <w:rFonts w:eastAsia="Times New Roman"/>
        </w:rPr>
        <w:t xml:space="preserve"> (PLSR, MLR, SVM, RF, neural nets, hybrid methods) that capture nonlinear relationships — often outperform linear models when sample size and variable selection are adequate. </w:t>
      </w:r>
    </w:p>
    <w:p w14:paraId="24F35A18" w14:textId="77777777" w:rsidR="009B5120" w:rsidRDefault="009B5120" w:rsidP="009B5120">
      <w:pPr>
        <w:numPr>
          <w:ilvl w:val="0"/>
          <w:numId w:val="4"/>
        </w:numPr>
        <w:spacing w:before="100" w:beforeAutospacing="1" w:after="100" w:afterAutospacing="1" w:line="240" w:lineRule="auto"/>
        <w:rPr>
          <w:rFonts w:eastAsia="Times New Roman"/>
        </w:rPr>
      </w:pPr>
      <w:r>
        <w:rPr>
          <w:rStyle w:val="Strong"/>
          <w:rFonts w:eastAsia="Times New Roman"/>
        </w:rPr>
        <w:t>Sensor fusion / hybrid approaches</w:t>
      </w:r>
      <w:r>
        <w:rPr>
          <w:rFonts w:eastAsia="Times New Roman"/>
        </w:rPr>
        <w:t xml:space="preserve"> — combining pXRF + VIS–NIR + ancillary data (texture, organic matter, moisture) and/or UAV/spaceborne hyperspectral for upscaling point predictions to maps. </w:t>
      </w:r>
    </w:p>
    <w:p w14:paraId="26D416B3" w14:textId="77777777" w:rsidR="009B5120" w:rsidRDefault="009B5120" w:rsidP="009B5120">
      <w:pPr>
        <w:numPr>
          <w:ilvl w:val="0"/>
          <w:numId w:val="4"/>
        </w:numPr>
        <w:spacing w:before="100" w:beforeAutospacing="1" w:after="100" w:afterAutospacing="1" w:line="240" w:lineRule="auto"/>
        <w:rPr>
          <w:rFonts w:eastAsia="Times New Roman"/>
        </w:rPr>
      </w:pPr>
      <w:r>
        <w:rPr>
          <w:rStyle w:val="Strong"/>
          <w:rFonts w:eastAsia="Times New Roman"/>
        </w:rPr>
        <w:t>Careful validation &amp; resampling strategies</w:t>
      </w:r>
      <w:r>
        <w:rPr>
          <w:rFonts w:eastAsia="Times New Roman"/>
        </w:rPr>
        <w:t xml:space="preserve"> (independent validation sets, cross-validation, spatially-stratified splits) to avoid overoptimistic results. </w:t>
      </w:r>
    </w:p>
    <w:p w14:paraId="31778B8C" w14:textId="0DBBCD20" w:rsidR="009B5120" w:rsidRDefault="009B5120">
      <w:pPr>
        <w:spacing w:after="0"/>
        <w:rPr>
          <w:rFonts w:eastAsia="Times New Roman"/>
        </w:rPr>
      </w:pPr>
    </w:p>
    <w:p w14:paraId="52314E61" w14:textId="77777777" w:rsidR="009B5120" w:rsidRDefault="009B5120">
      <w:pPr>
        <w:pStyle w:val="Heading1"/>
        <w:rPr>
          <w:rFonts w:eastAsia="Times New Roman"/>
        </w:rPr>
      </w:pPr>
      <w:r>
        <w:rPr>
          <w:rFonts w:eastAsia="Times New Roman"/>
        </w:rPr>
        <w:t>Empirical studies (chronological summaries — methods, sample size, models, main results &amp; takeaways)</w:t>
      </w:r>
    </w:p>
    <w:p w14:paraId="4898B4E2" w14:textId="77777777" w:rsidR="009B5120" w:rsidRDefault="009B5120">
      <w:pPr>
        <w:pStyle w:val="Heading3"/>
        <w:rPr>
          <w:rFonts w:eastAsia="Times New Roman"/>
        </w:rPr>
      </w:pPr>
      <w:r>
        <w:rPr>
          <w:rFonts w:eastAsia="Times New Roman"/>
        </w:rPr>
        <w:t xml:space="preserve">1) </w:t>
      </w:r>
      <w:r>
        <w:rPr>
          <w:rStyle w:val="Strong"/>
          <w:rFonts w:eastAsia="Times New Roman"/>
          <w:b w:val="0"/>
          <w:bCs w:val="0"/>
        </w:rPr>
        <w:t>Nocita et al., 2011 — Field &amp; lab VIS–NIR spectroscopy to predict soil organic carbon (SOC)</w:t>
      </w:r>
      <w:r>
        <w:rPr>
          <w:rFonts w:eastAsia="Times New Roman"/>
        </w:rPr>
        <w:t xml:space="preserve"> (Geoderma)</w:t>
      </w:r>
    </w:p>
    <w:p w14:paraId="25600D2F" w14:textId="77777777" w:rsidR="009B5120" w:rsidRDefault="009B5120">
      <w:pPr>
        <w:pStyle w:val="NormalWeb"/>
      </w:pPr>
      <w:r>
        <w:rPr>
          <w:rStyle w:val="Strong"/>
        </w:rPr>
        <w:t>What they did:</w:t>
      </w:r>
      <w:r>
        <w:t xml:space="preserve"> sampled 113 topsoil sites across the Albany Thicket Biome (South Africa), measured VNIR spectra (350–2500 nm) both in lab and in the field and chemically analyzed SOC (Walkley–Black). Used PLSR models; simulated EnMAP (satellite) resampling to test up-scaling. </w:t>
      </w:r>
      <w:r>
        <w:br/>
      </w:r>
      <w:r>
        <w:rPr>
          <w:rStyle w:val="Strong"/>
        </w:rPr>
        <w:t>Key results:</w:t>
      </w:r>
      <w:r>
        <w:t xml:space="preserve"> VNIR (full range) provided best SOC prediction; many models achieved good R²/RPD values (authors classified models as “good predictive ability” under standard criteria). Upscaling to satellite resolution reduced accuracy (field → remote sensors).</w:t>
      </w:r>
      <w:r>
        <w:br/>
      </w:r>
      <w:r>
        <w:rPr>
          <w:rStyle w:val="Strong"/>
        </w:rPr>
        <w:t>Takeaway:</w:t>
      </w:r>
      <w:r>
        <w:t xml:space="preserve"> VIS–NIR can accurately predict SOC at plot scale, but spectral range, sample preparation and instrument SNR matter; moving to airborne/satellite reduces accuracy unless carefully handled and representative libraries are used. </w:t>
      </w:r>
    </w:p>
    <w:p w14:paraId="70E677B2" w14:textId="12C1C641" w:rsidR="009B5120" w:rsidRDefault="009B5120">
      <w:pPr>
        <w:rPr>
          <w:rFonts w:eastAsia="Times New Roman"/>
        </w:rPr>
      </w:pPr>
    </w:p>
    <w:p w14:paraId="548AEDA3" w14:textId="77777777" w:rsidR="009B5120" w:rsidRDefault="009B5120">
      <w:pPr>
        <w:pStyle w:val="Heading3"/>
        <w:rPr>
          <w:rFonts w:eastAsia="Times New Roman"/>
        </w:rPr>
      </w:pPr>
      <w:r>
        <w:rPr>
          <w:rFonts w:eastAsia="Times New Roman"/>
        </w:rPr>
        <w:t xml:space="preserve">2) </w:t>
      </w:r>
      <w:r>
        <w:rPr>
          <w:rStyle w:val="Strong"/>
          <w:rFonts w:eastAsia="Times New Roman"/>
          <w:b w:val="0"/>
          <w:bCs w:val="0"/>
        </w:rPr>
        <w:t>Stevens et al., 2013 — Continental-scale VIS–NIR spectroscopic prediction of SOC (LUCAS / Europe)</w:t>
      </w:r>
      <w:r>
        <w:rPr>
          <w:rFonts w:eastAsia="Times New Roman"/>
        </w:rPr>
        <w:t xml:space="preserve"> (PLOS ONE)</w:t>
      </w:r>
    </w:p>
    <w:p w14:paraId="70CB575C" w14:textId="77777777" w:rsidR="009B5120" w:rsidRDefault="009B5120">
      <w:pPr>
        <w:pStyle w:val="NormalWeb"/>
      </w:pPr>
      <w:r>
        <w:rPr>
          <w:rStyle w:val="Strong"/>
        </w:rPr>
        <w:t>What they did:</w:t>
      </w:r>
      <w:r>
        <w:t xml:space="preserve"> used the large standardized </w:t>
      </w:r>
      <w:r>
        <w:rPr>
          <w:rStyle w:val="Strong"/>
        </w:rPr>
        <w:t>LUCAS</w:t>
      </w:r>
      <w:r>
        <w:t xml:space="preserve"> soil spectral library (~20,000 geo-referenced topsoil samples across 23 European countries) to build VIS–NIR models and evaluate continental-scale prediction of SOC. </w:t>
      </w:r>
      <w:r>
        <w:br/>
      </w:r>
      <w:r>
        <w:rPr>
          <w:rStyle w:val="Strong"/>
        </w:rPr>
        <w:t>Key results:</w:t>
      </w:r>
      <w:r>
        <w:t xml:space="preserve"> Best calibrations produced RMSEs of ~4–15 g C kg⁻¹ for mineral soils; models were </w:t>
      </w:r>
      <w:r>
        <w:rPr>
          <w:rStyle w:val="Strong"/>
        </w:rPr>
        <w:t>unbiased</w:t>
      </w:r>
      <w:r>
        <w:t xml:space="preserve"> (no systematic bias) but errors were ~5× larger than laboratory reproducibility. Model error related to SOC level and to variation in sand/clay content.</w:t>
      </w:r>
      <w:r>
        <w:br/>
      </w:r>
      <w:r>
        <w:rPr>
          <w:rStyle w:val="Strong"/>
        </w:rPr>
        <w:t>Takeaway:</w:t>
      </w:r>
      <w:r>
        <w:t xml:space="preserve"> Spectroscopy can produce unbiased, cost-effective continental-scale SOC estimates </w:t>
      </w:r>
      <w:r>
        <w:rPr>
          <w:rStyle w:val="Strong"/>
        </w:rPr>
        <w:t>if</w:t>
      </w:r>
      <w:r>
        <w:t xml:space="preserve"> very large, standardized spectral libraries and standardized lab reference methods are used — but predictive errors remain larger than lab methods and spatial heterogeneity and matrix variables control accuracy. This paper highlights the need for very large, quality-controlled libraries for upscaling. </w:t>
      </w:r>
    </w:p>
    <w:p w14:paraId="43E359C2" w14:textId="524B1FCC" w:rsidR="009B5120" w:rsidRDefault="009B5120">
      <w:pPr>
        <w:rPr>
          <w:rFonts w:eastAsia="Times New Roman"/>
        </w:rPr>
      </w:pPr>
    </w:p>
    <w:p w14:paraId="03F7528E" w14:textId="77777777" w:rsidR="009B5120" w:rsidRDefault="009B5120">
      <w:pPr>
        <w:pStyle w:val="Heading3"/>
        <w:rPr>
          <w:rFonts w:eastAsia="Times New Roman"/>
        </w:rPr>
      </w:pPr>
      <w:r>
        <w:rPr>
          <w:rFonts w:eastAsia="Times New Roman"/>
        </w:rPr>
        <w:t xml:space="preserve">3) </w:t>
      </w:r>
      <w:r>
        <w:rPr>
          <w:rStyle w:val="Strong"/>
          <w:rFonts w:eastAsia="Times New Roman"/>
          <w:b w:val="0"/>
          <w:bCs w:val="0"/>
        </w:rPr>
        <w:t>Tavares et al., 2020 — Using portable XRF and Compton normalization to mitigate matrix effects (Agronomy)</w:t>
      </w:r>
    </w:p>
    <w:p w14:paraId="4226B45A" w14:textId="77777777" w:rsidR="009B5120" w:rsidRDefault="009B5120">
      <w:pPr>
        <w:pStyle w:val="NormalWeb"/>
      </w:pPr>
      <w:r>
        <w:rPr>
          <w:rStyle w:val="Strong"/>
        </w:rPr>
        <w:t>What they did:</w:t>
      </w:r>
      <w:r>
        <w:t xml:space="preserve"> analyzed </w:t>
      </w:r>
      <w:r>
        <w:rPr>
          <w:rStyle w:val="Strong"/>
        </w:rPr>
        <w:t>102</w:t>
      </w:r>
      <w:r>
        <w:t xml:space="preserve"> soil samples from two agricultural fields with contrasting soil matrices using a portable ED-XRF. Tested Compton normalization (CN) combined with multivariate regressions (MLR, PLSR) to reduce matrix effects and predict clay, CEC, exchangeable K and Ca. </w:t>
      </w:r>
      <w:r>
        <w:br/>
      </w:r>
      <w:r>
        <w:rPr>
          <w:rStyle w:val="Strong"/>
        </w:rPr>
        <w:t>Key results:</w:t>
      </w:r>
      <w:r>
        <w:t xml:space="preserve"> Combining CN with multivariate models substantially improved predictions: e.g., CEC R² up to ~0.87, ex-K and ex-Ca R² ≥ 0.94–0.96 for some datasets; clay prediction was good (R² ~0.89–0.92). CN + multivariate regressions matched or outperformed vendor preprogrammed packages.</w:t>
      </w:r>
      <w:r>
        <w:br/>
      </w:r>
      <w:r>
        <w:rPr>
          <w:rStyle w:val="Strong"/>
        </w:rPr>
        <w:t>Takeaway:</w:t>
      </w:r>
      <w:r>
        <w:t xml:space="preserve"> For elemental and fertility attributes, </w:t>
      </w:r>
      <w:r>
        <w:rPr>
          <w:rStyle w:val="Strong"/>
        </w:rPr>
        <w:t>pXRF paired with appropriate preprocessing (Compton normalization) and multivariate modeling</w:t>
      </w:r>
      <w:r>
        <w:t xml:space="preserve"> can overcome matrix effects and yield high R² in many contexts — but broader testing across more diverse soils is still needed. This shows pXRF is a practical proximal sensor for many fertility indicators when corrected for matrix. </w:t>
      </w:r>
    </w:p>
    <w:p w14:paraId="61E1C552" w14:textId="6A568143" w:rsidR="009B5120" w:rsidRDefault="009B5120">
      <w:pPr>
        <w:rPr>
          <w:rFonts w:eastAsia="Times New Roman"/>
        </w:rPr>
      </w:pPr>
    </w:p>
    <w:p w14:paraId="1F29057A" w14:textId="02EF6EFE" w:rsidR="009B5120" w:rsidRDefault="009B5120">
      <w:pPr>
        <w:rPr>
          <w:rFonts w:eastAsia="Times New Roman"/>
        </w:rPr>
      </w:pPr>
    </w:p>
    <w:p w14:paraId="03C3DCAF" w14:textId="77777777" w:rsidR="009B5120" w:rsidRDefault="009B5120">
      <w:pPr>
        <w:pStyle w:val="Heading1"/>
        <w:rPr>
          <w:rFonts w:eastAsia="Times New Roman"/>
        </w:rPr>
      </w:pPr>
      <w:r>
        <w:rPr>
          <w:rFonts w:eastAsia="Times New Roman"/>
        </w:rPr>
        <w:t>Synthesis &amp; practical recommendations (from empirical evidence)</w:t>
      </w:r>
    </w:p>
    <w:p w14:paraId="0BF5E45E" w14:textId="4C874D17" w:rsidR="009B5120" w:rsidRDefault="009B5120" w:rsidP="009B5120">
      <w:pPr>
        <w:numPr>
          <w:ilvl w:val="0"/>
          <w:numId w:val="5"/>
        </w:numPr>
        <w:spacing w:before="100" w:beforeAutospacing="1" w:after="100" w:afterAutospacing="1" w:line="240" w:lineRule="auto"/>
        <w:rPr>
          <w:rFonts w:eastAsia="Times New Roman"/>
        </w:rPr>
      </w:pPr>
      <w:r>
        <w:rPr>
          <w:rStyle w:val="Strong"/>
          <w:rFonts w:eastAsia="Times New Roman"/>
        </w:rPr>
        <w:t>Match sensor to target nutrient.</w:t>
      </w:r>
      <w:r>
        <w:rPr>
          <w:rFonts w:eastAsia="Times New Roman"/>
        </w:rPr>
        <w:t xml:space="preserve"> Use VIS–NIR/hyperspectral + ML for organic carbon and for mapping indirect indicators; use metals and when you need elemental concentrations. </w:t>
      </w:r>
    </w:p>
    <w:p w14:paraId="7346A5DD" w14:textId="77777777" w:rsidR="009B5120" w:rsidRDefault="009B5120" w:rsidP="009B5120">
      <w:pPr>
        <w:numPr>
          <w:ilvl w:val="0"/>
          <w:numId w:val="5"/>
        </w:numPr>
        <w:spacing w:before="100" w:beforeAutospacing="1" w:after="100" w:afterAutospacing="1" w:line="240" w:lineRule="auto"/>
        <w:rPr>
          <w:rFonts w:eastAsia="Times New Roman"/>
        </w:rPr>
      </w:pPr>
      <w:r>
        <w:rPr>
          <w:rStyle w:val="Strong"/>
          <w:rFonts w:eastAsia="Times New Roman"/>
        </w:rPr>
        <w:t>Preprocess &amp; correct for matrix effects.</w:t>
      </w:r>
      <w:r>
        <w:rPr>
          <w:rFonts w:eastAsia="Times New Roman"/>
        </w:rPr>
        <w:t xml:space="preserve"> Apply normalization (e.g., Compton for XRF), spectral pre-treatments, and include texture/OM as covariates to reduce bias. </w:t>
      </w:r>
    </w:p>
    <w:p w14:paraId="78560691" w14:textId="0E86AF25" w:rsidR="009B5120" w:rsidRDefault="009B5120" w:rsidP="009B5120">
      <w:pPr>
        <w:numPr>
          <w:ilvl w:val="0"/>
          <w:numId w:val="5"/>
        </w:numPr>
        <w:spacing w:before="100" w:beforeAutospacing="1" w:after="100" w:afterAutospacing="1" w:line="240" w:lineRule="auto"/>
        <w:rPr>
          <w:rFonts w:eastAsia="Times New Roman"/>
        </w:rPr>
      </w:pPr>
      <w:r>
        <w:rPr>
          <w:rStyle w:val="Strong"/>
          <w:rFonts w:eastAsia="Times New Roman"/>
        </w:rPr>
        <w:t>Use robust model selection and validation.</w:t>
      </w:r>
      <w:r>
        <w:rPr>
          <w:rFonts w:eastAsia="Times New Roman"/>
        </w:rPr>
        <w:t xml:space="preserve"> Try both linea</w:t>
      </w:r>
      <w:r w:rsidR="0055663B">
        <w:rPr>
          <w:rFonts w:eastAsia="Times New Roman"/>
        </w:rPr>
        <w:t xml:space="preserve">r </w:t>
      </w:r>
      <w:r>
        <w:rPr>
          <w:rFonts w:eastAsia="Times New Roman"/>
        </w:rPr>
        <w:t xml:space="preserve"> and nonlinear methods; use spatially-aware cross-validation and independent external validation sets to avoid overfitting. </w:t>
      </w:r>
    </w:p>
    <w:p w14:paraId="1746EF79" w14:textId="51CE64D0" w:rsidR="009B5120" w:rsidRDefault="009B5120" w:rsidP="009B5120">
      <w:pPr>
        <w:numPr>
          <w:ilvl w:val="0"/>
          <w:numId w:val="5"/>
        </w:numPr>
        <w:spacing w:before="100" w:beforeAutospacing="1" w:after="100" w:afterAutospacing="1" w:line="240" w:lineRule="auto"/>
        <w:rPr>
          <w:rFonts w:eastAsia="Times New Roman"/>
        </w:rPr>
      </w:pPr>
      <w:r>
        <w:rPr>
          <w:rStyle w:val="Strong"/>
          <w:rFonts w:eastAsia="Times New Roman"/>
        </w:rPr>
        <w:t>Build representative, standardized spectral libraries</w:t>
      </w:r>
      <w:r>
        <w:rPr>
          <w:rFonts w:eastAsia="Times New Roman"/>
        </w:rPr>
        <w:t xml:space="preserve"> if upscaling beyond local studies. Invest in consistent sampling protocols and high-quality lab reference analyses. Large libraries  increase the chance of transferable continental/regional models. </w:t>
      </w:r>
    </w:p>
    <w:p w14:paraId="120062EC" w14:textId="19296D2A" w:rsidR="005E2D4C" w:rsidRDefault="009B5120" w:rsidP="005E2D4C">
      <w:pPr>
        <w:numPr>
          <w:ilvl w:val="0"/>
          <w:numId w:val="5"/>
        </w:numPr>
        <w:spacing w:before="100" w:beforeAutospacing="1" w:after="100" w:afterAutospacing="1" w:line="240" w:lineRule="auto"/>
        <w:rPr>
          <w:rFonts w:eastAsia="Times New Roman"/>
        </w:rPr>
      </w:pPr>
      <w:r>
        <w:rPr>
          <w:rStyle w:val="Strong"/>
          <w:rFonts w:eastAsia="Times New Roman"/>
        </w:rPr>
        <w:t>Fuse sensors for best results.</w:t>
      </w:r>
      <w:r>
        <w:rPr>
          <w:rFonts w:eastAsia="Times New Roman"/>
        </w:rPr>
        <w:t xml:space="preserve"> Combine proximal sensors  with  hyperspectral and ancillary soil maps to scale from point to field/region</w:t>
      </w:r>
    </w:p>
    <w:p w14:paraId="5A03CD6F" w14:textId="77777777" w:rsidR="00AF675D" w:rsidRDefault="00AF675D" w:rsidP="005E2D4C">
      <w:pPr>
        <w:spacing w:before="100" w:beforeAutospacing="1" w:after="100" w:afterAutospacing="1" w:line="240" w:lineRule="auto"/>
        <w:ind w:left="720"/>
        <w:rPr>
          <w:rFonts w:eastAsia="Times New Roman"/>
        </w:rPr>
      </w:pPr>
    </w:p>
    <w:p w14:paraId="43CDFAB2" w14:textId="77777777" w:rsidR="00AF675D" w:rsidRDefault="00AF675D" w:rsidP="005E2D4C">
      <w:pPr>
        <w:spacing w:before="100" w:beforeAutospacing="1" w:after="100" w:afterAutospacing="1" w:line="240" w:lineRule="auto"/>
        <w:ind w:left="720"/>
        <w:rPr>
          <w:rFonts w:eastAsia="Times New Roman"/>
        </w:rPr>
      </w:pPr>
    </w:p>
    <w:p w14:paraId="3E748BBB" w14:textId="5EECF709" w:rsidR="009B5120" w:rsidRPr="00AF675D" w:rsidRDefault="00EA600B" w:rsidP="005E2D4C">
      <w:pPr>
        <w:spacing w:before="100" w:beforeAutospacing="1" w:after="100" w:afterAutospacing="1" w:line="240" w:lineRule="auto"/>
        <w:ind w:left="720"/>
        <w:rPr>
          <w:rFonts w:eastAsia="Times New Roman"/>
          <w:color w:val="156082" w:themeColor="accent1"/>
        </w:rPr>
      </w:pPr>
      <w:r w:rsidRPr="00AF675D">
        <w:rPr>
          <w:rFonts w:eastAsia="Times New Roman"/>
          <w:color w:val="156082" w:themeColor="accent1"/>
        </w:rPr>
        <w:t>C</w:t>
      </w:r>
      <w:r w:rsidR="009B5120" w:rsidRPr="00AF675D">
        <w:rPr>
          <w:rFonts w:eastAsia="Times New Roman"/>
          <w:color w:val="156082" w:themeColor="accent1"/>
        </w:rPr>
        <w:t>onclusion</w:t>
      </w:r>
    </w:p>
    <w:p w14:paraId="18214E11" w14:textId="61354FA7" w:rsidR="009B5120" w:rsidRDefault="009B5120">
      <w:pPr>
        <w:pStyle w:val="NormalWeb"/>
      </w:pPr>
      <w:r>
        <w:t xml:space="preserve">Empirical literature shows </w:t>
      </w:r>
      <w:r>
        <w:rPr>
          <w:rStyle w:val="Strong"/>
        </w:rPr>
        <w:t>strong promise</w:t>
      </w:r>
      <w:r>
        <w:t xml:space="preserve"> for rapid soil-nutrient detection using spectroscopy , especially when combined with thoughtful preprocessing, large/representative calibration libraries and modern machine-learning. Key limitations remain (weak spectral signals for N/P, matrix effects, transferability to new regions), but published solutions — normalization (e.g., Compton), hybrid models, and sensor fusion — consistently improve performance in real studies. </w:t>
      </w:r>
    </w:p>
    <w:p w14:paraId="6696E840" w14:textId="7916F766" w:rsidR="009B5120" w:rsidRPr="009D0F72" w:rsidRDefault="009B5120" w:rsidP="009D0F72">
      <w:pPr>
        <w:rPr>
          <w:rFonts w:eastAsia="Times New Roman"/>
        </w:rPr>
      </w:pPr>
    </w:p>
    <w:p w14:paraId="175AA431" w14:textId="77777777" w:rsidR="009B5120" w:rsidRDefault="009B5120"/>
    <w:sectPr w:rsidR="009B51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645D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DC676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A45028"/>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4C54FD"/>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E505C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5478797">
    <w:abstractNumId w:val="4"/>
  </w:num>
  <w:num w:numId="2" w16cid:durableId="819272772">
    <w:abstractNumId w:val="1"/>
  </w:num>
  <w:num w:numId="3" w16cid:durableId="1319922241">
    <w:abstractNumId w:val="2"/>
  </w:num>
  <w:num w:numId="4" w16cid:durableId="560478687">
    <w:abstractNumId w:val="0"/>
  </w:num>
  <w:num w:numId="5" w16cid:durableId="10099106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120"/>
    <w:rsid w:val="00093015"/>
    <w:rsid w:val="000A1BC8"/>
    <w:rsid w:val="000C4FA1"/>
    <w:rsid w:val="00112A35"/>
    <w:rsid w:val="00277F8F"/>
    <w:rsid w:val="00304EB1"/>
    <w:rsid w:val="00327A88"/>
    <w:rsid w:val="0038559C"/>
    <w:rsid w:val="003D2E45"/>
    <w:rsid w:val="00493EE1"/>
    <w:rsid w:val="004C6CD8"/>
    <w:rsid w:val="0055663B"/>
    <w:rsid w:val="005E2D4C"/>
    <w:rsid w:val="006767FF"/>
    <w:rsid w:val="007D55C7"/>
    <w:rsid w:val="009B5120"/>
    <w:rsid w:val="009D0F72"/>
    <w:rsid w:val="00AF675D"/>
    <w:rsid w:val="00B77C1F"/>
    <w:rsid w:val="00D413D5"/>
    <w:rsid w:val="00D50683"/>
    <w:rsid w:val="00D63F04"/>
    <w:rsid w:val="00EA6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B9A91"/>
  <w15:chartTrackingRefBased/>
  <w15:docId w15:val="{9D95093A-A383-1B4E-BFFB-AB6A7EDDC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51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B51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B51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51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51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51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51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51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51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1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51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51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51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51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51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51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51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5120"/>
    <w:rPr>
      <w:rFonts w:eastAsiaTheme="majorEastAsia" w:cstheme="majorBidi"/>
      <w:color w:val="272727" w:themeColor="text1" w:themeTint="D8"/>
    </w:rPr>
  </w:style>
  <w:style w:type="paragraph" w:styleId="Title">
    <w:name w:val="Title"/>
    <w:basedOn w:val="Normal"/>
    <w:next w:val="Normal"/>
    <w:link w:val="TitleChar"/>
    <w:uiPriority w:val="10"/>
    <w:qFormat/>
    <w:rsid w:val="009B51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51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51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51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5120"/>
    <w:pPr>
      <w:spacing w:before="160"/>
      <w:jc w:val="center"/>
    </w:pPr>
    <w:rPr>
      <w:i/>
      <w:iCs/>
      <w:color w:val="404040" w:themeColor="text1" w:themeTint="BF"/>
    </w:rPr>
  </w:style>
  <w:style w:type="character" w:customStyle="1" w:styleId="QuoteChar">
    <w:name w:val="Quote Char"/>
    <w:basedOn w:val="DefaultParagraphFont"/>
    <w:link w:val="Quote"/>
    <w:uiPriority w:val="29"/>
    <w:rsid w:val="009B5120"/>
    <w:rPr>
      <w:i/>
      <w:iCs/>
      <w:color w:val="404040" w:themeColor="text1" w:themeTint="BF"/>
    </w:rPr>
  </w:style>
  <w:style w:type="paragraph" w:styleId="ListParagraph">
    <w:name w:val="List Paragraph"/>
    <w:basedOn w:val="Normal"/>
    <w:uiPriority w:val="34"/>
    <w:qFormat/>
    <w:rsid w:val="009B5120"/>
    <w:pPr>
      <w:ind w:left="720"/>
      <w:contextualSpacing/>
    </w:pPr>
  </w:style>
  <w:style w:type="character" w:styleId="IntenseEmphasis">
    <w:name w:val="Intense Emphasis"/>
    <w:basedOn w:val="DefaultParagraphFont"/>
    <w:uiPriority w:val="21"/>
    <w:qFormat/>
    <w:rsid w:val="009B5120"/>
    <w:rPr>
      <w:i/>
      <w:iCs/>
      <w:color w:val="0F4761" w:themeColor="accent1" w:themeShade="BF"/>
    </w:rPr>
  </w:style>
  <w:style w:type="paragraph" w:styleId="IntenseQuote">
    <w:name w:val="Intense Quote"/>
    <w:basedOn w:val="Normal"/>
    <w:next w:val="Normal"/>
    <w:link w:val="IntenseQuoteChar"/>
    <w:uiPriority w:val="30"/>
    <w:qFormat/>
    <w:rsid w:val="009B51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5120"/>
    <w:rPr>
      <w:i/>
      <w:iCs/>
      <w:color w:val="0F4761" w:themeColor="accent1" w:themeShade="BF"/>
    </w:rPr>
  </w:style>
  <w:style w:type="character" w:styleId="IntenseReference">
    <w:name w:val="Intense Reference"/>
    <w:basedOn w:val="DefaultParagraphFont"/>
    <w:uiPriority w:val="32"/>
    <w:qFormat/>
    <w:rsid w:val="009B5120"/>
    <w:rPr>
      <w:b/>
      <w:bCs/>
      <w:smallCaps/>
      <w:color w:val="0F4761" w:themeColor="accent1" w:themeShade="BF"/>
      <w:spacing w:val="5"/>
    </w:rPr>
  </w:style>
  <w:style w:type="paragraph" w:styleId="NormalWeb">
    <w:name w:val="Normal (Web)"/>
    <w:basedOn w:val="Normal"/>
    <w:uiPriority w:val="99"/>
    <w:semiHidden/>
    <w:unhideWhenUsed/>
    <w:rsid w:val="009B5120"/>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9B51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1208</Words>
  <Characters>6887</Characters>
  <Application>Microsoft Office Word</Application>
  <DocSecurity>0</DocSecurity>
  <Lines>57</Lines>
  <Paragraphs>16</Paragraphs>
  <ScaleCrop>false</ScaleCrop>
  <Company/>
  <LinksUpToDate>false</LinksUpToDate>
  <CharactersWithSpaces>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meinrardkapinga@gmail.com</dc:creator>
  <cp:keywords/>
  <dc:description/>
  <cp:lastModifiedBy>meinrardkapinga@gmail.com</cp:lastModifiedBy>
  <cp:revision>2</cp:revision>
  <dcterms:created xsi:type="dcterms:W3CDTF">2025-12-18T10:57:00Z</dcterms:created>
  <dcterms:modified xsi:type="dcterms:W3CDTF">2025-12-18T10:57:00Z</dcterms:modified>
</cp:coreProperties>
</file>