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LITERATURE REVIEW SUMMARY: MINING SECTOR</w:t>
      </w:r>
    </w:p>
    <w:p>
      <w:pPr>
        <w:pStyle w:val="style0"/>
        <w:rPr/>
      </w:pPr>
    </w:p>
    <w:p>
      <w:pPr>
        <w:pStyle w:val="style0"/>
        <w:rPr/>
      </w:pPr>
      <w:r>
        <w:t>Hilson (2002) found that artisanal and small-scale mining is an important source of livelihood in developing countries, especially where formal employment is limited. However, the study highlighted serious problems such as unsafe working conditions, environmental degradation, and weak regulation.</w:t>
      </w:r>
    </w:p>
    <w:p>
      <w:pPr>
        <w:pStyle w:val="style0"/>
        <w:rPr/>
      </w:pPr>
    </w:p>
    <w:p>
      <w:pPr>
        <w:pStyle w:val="style0"/>
        <w:rPr/>
      </w:pPr>
      <w:r>
        <w:t>Bridge (2004) examined mining investment and showed that although mining contributes to economic growth, the benefits are often unevenly distributed. Local communities frequently experience environmental damage and receive limited economic gains due to weak governance.</w:t>
      </w:r>
    </w:p>
    <w:p>
      <w:pPr>
        <w:pStyle w:val="style0"/>
        <w:rPr/>
      </w:pPr>
    </w:p>
    <w:p>
      <w:pPr>
        <w:pStyle w:val="style0"/>
        <w:rPr/>
      </w:pPr>
      <w:r>
        <w:t>Bebbington et al. (2008) focused on mining-related conflicts and concluded that disputes commonly arise from poor governance, land ownership issues, and unequal sharing of mining benefits. The study emphasized the need for transparency and community participation to achieve sustainable mining development.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120</Words>
  <Characters>796</Characters>
  <Application>WPS Office</Application>
  <Paragraphs>7</Paragraphs>
  <CharactersWithSpaces>912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2025-12-18T11:25:39Z</dcterms:created>
  <dc:creator>Pixel 7 Pro</dc:creator>
  <lastModifiedBy>Pixel 7 Pro</lastModifiedBy>
  <dcterms:modified xsi:type="dcterms:W3CDTF">2025-12-18T11:25:39Z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9b33ee158757423d8d8a35efc5bb2f21</vt:lpwstr>
  </property>
</Properties>
</file>