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29B36" w14:textId="77777777" w:rsidR="002B5F0D" w:rsidRDefault="002B5F0D">
      <w:pPr>
        <w:pStyle w:val="Heading1"/>
        <w:rPr>
          <w:rFonts w:eastAsia="Times New Roman"/>
          <w:kern w:val="36"/>
          <w:sz w:val="48"/>
          <w:szCs w:val="48"/>
          <w14:ligatures w14:val="none"/>
        </w:rPr>
      </w:pPr>
      <w:r>
        <w:rPr>
          <w:rFonts w:eastAsia="Times New Roman"/>
        </w:rPr>
        <w:t>Literature Review: Education in Africa</w:t>
      </w:r>
    </w:p>
    <w:p w14:paraId="5B6952BD" w14:textId="77777777" w:rsidR="002B5F0D" w:rsidRDefault="002B5F0D">
      <w:pPr>
        <w:pStyle w:val="Heading2"/>
        <w:rPr>
          <w:rFonts w:eastAsia="Times New Roman"/>
        </w:rPr>
      </w:pPr>
      <w:r>
        <w:rPr>
          <w:rFonts w:eastAsia="Times New Roman"/>
        </w:rPr>
        <w:t>1. Background of the Research</w:t>
      </w:r>
    </w:p>
    <w:p w14:paraId="7297FA9E" w14:textId="77777777" w:rsidR="002B5F0D" w:rsidRDefault="002B5F0D">
      <w:pPr>
        <w:pStyle w:val="Heading3"/>
        <w:rPr>
          <w:rFonts w:eastAsia="Times New Roman"/>
        </w:rPr>
      </w:pPr>
      <w:r>
        <w:rPr>
          <w:rFonts w:eastAsia="Times New Roman"/>
        </w:rPr>
        <w:t>Importance of Education in Africa</w:t>
      </w:r>
    </w:p>
    <w:p w14:paraId="4B76770F" w14:textId="77777777" w:rsidR="002B5F0D" w:rsidRDefault="002B5F0D">
      <w:pPr>
        <w:pStyle w:val="NormalWeb"/>
        <w:numPr>
          <w:ilvl w:val="0"/>
          <w:numId w:val="1"/>
        </w:numPr>
      </w:pPr>
      <w:r>
        <w:rPr>
          <w:rStyle w:val="Strong"/>
        </w:rPr>
        <w:t>Human capital development:</w:t>
      </w:r>
      <w:r>
        <w:t xml:space="preserve"> Education is central to economic growth, poverty reduction, and social mobility. It equips individuals with skills for employment and civic participation.</w:t>
      </w:r>
    </w:p>
    <w:p w14:paraId="1AC25770" w14:textId="77777777" w:rsidR="002B5F0D" w:rsidRDefault="002B5F0D">
      <w:pPr>
        <w:pStyle w:val="NormalWeb"/>
        <w:numPr>
          <w:ilvl w:val="0"/>
          <w:numId w:val="1"/>
        </w:numPr>
      </w:pPr>
      <w:r>
        <w:rPr>
          <w:rStyle w:val="Strong"/>
        </w:rPr>
        <w:t>Social transformation:</w:t>
      </w:r>
      <w:r>
        <w:t xml:space="preserve"> Expanding access to education promotes gender equality, reduces child marriage, and strengthens democratic institutions.</w:t>
      </w:r>
    </w:p>
    <w:p w14:paraId="2CA12720" w14:textId="77777777" w:rsidR="002B5F0D" w:rsidRDefault="002B5F0D">
      <w:pPr>
        <w:pStyle w:val="NormalWeb"/>
        <w:numPr>
          <w:ilvl w:val="0"/>
          <w:numId w:val="1"/>
        </w:numPr>
      </w:pPr>
      <w:r>
        <w:rPr>
          <w:rStyle w:val="Strong"/>
        </w:rPr>
        <w:t>Global integration:</w:t>
      </w:r>
      <w:r>
        <w:t xml:space="preserve"> Education enables African countries to participate in the knowledge economy and meet Sustainable Development Goals (SDGs).</w:t>
      </w:r>
    </w:p>
    <w:p w14:paraId="3D66BC62" w14:textId="77777777" w:rsidR="002B5F0D" w:rsidRDefault="002B5F0D">
      <w:pPr>
        <w:pStyle w:val="Heading3"/>
        <w:rPr>
          <w:rFonts w:eastAsia="Times New Roman"/>
        </w:rPr>
      </w:pPr>
      <w:r>
        <w:rPr>
          <w:rFonts w:eastAsia="Times New Roman"/>
        </w:rPr>
        <w:t>Challenges Facing Education in Africa</w:t>
      </w:r>
    </w:p>
    <w:p w14:paraId="2955D990" w14:textId="77777777" w:rsidR="002B5F0D" w:rsidRDefault="002B5F0D">
      <w:pPr>
        <w:pStyle w:val="NormalWeb"/>
        <w:numPr>
          <w:ilvl w:val="0"/>
          <w:numId w:val="2"/>
        </w:numPr>
      </w:pPr>
      <w:r>
        <w:rPr>
          <w:rStyle w:val="Strong"/>
        </w:rPr>
        <w:t>Infrastructure gaps:</w:t>
      </w:r>
      <w:r>
        <w:t xml:space="preserve"> Many schools lack classrooms, electricity, sanitation, and teaching materials.</w:t>
      </w:r>
    </w:p>
    <w:p w14:paraId="5D883A9C" w14:textId="77777777" w:rsidR="002B5F0D" w:rsidRDefault="002B5F0D">
      <w:pPr>
        <w:pStyle w:val="NormalWeb"/>
        <w:numPr>
          <w:ilvl w:val="0"/>
          <w:numId w:val="2"/>
        </w:numPr>
      </w:pPr>
      <w:r>
        <w:rPr>
          <w:rStyle w:val="Strong"/>
        </w:rPr>
        <w:t>Teacher shortages:</w:t>
      </w:r>
      <w:r>
        <w:t xml:space="preserve"> High pupil–teacher ratios and limited teacher training reduce quality.</w:t>
      </w:r>
    </w:p>
    <w:p w14:paraId="4E3D4F95" w14:textId="77777777" w:rsidR="002B5F0D" w:rsidRDefault="002B5F0D">
      <w:pPr>
        <w:pStyle w:val="NormalWeb"/>
        <w:numPr>
          <w:ilvl w:val="0"/>
          <w:numId w:val="2"/>
        </w:numPr>
      </w:pPr>
      <w:r>
        <w:rPr>
          <w:rStyle w:val="Strong"/>
        </w:rPr>
        <w:t>Language barriers:</w:t>
      </w:r>
      <w:r>
        <w:t xml:space="preserve"> Instruction often occurs in colonial languages, creating difficulties for learners whose first language is indigenous.</w:t>
      </w:r>
    </w:p>
    <w:p w14:paraId="2122E9F6" w14:textId="77777777" w:rsidR="002B5F0D" w:rsidRDefault="002B5F0D">
      <w:pPr>
        <w:pStyle w:val="NormalWeb"/>
        <w:numPr>
          <w:ilvl w:val="0"/>
          <w:numId w:val="2"/>
        </w:numPr>
      </w:pPr>
      <w:r>
        <w:rPr>
          <w:rStyle w:val="Strong"/>
        </w:rPr>
        <w:t>Funding constraints:</w:t>
      </w:r>
      <w:r>
        <w:t xml:space="preserve"> Limited government budgets and reliance on donor support hinder sustainability.</w:t>
      </w:r>
    </w:p>
    <w:p w14:paraId="53764C3F" w14:textId="77777777" w:rsidR="002B5F0D" w:rsidRDefault="002B5F0D">
      <w:pPr>
        <w:pStyle w:val="NormalWeb"/>
        <w:numPr>
          <w:ilvl w:val="0"/>
          <w:numId w:val="2"/>
        </w:numPr>
      </w:pPr>
      <w:r>
        <w:rPr>
          <w:rStyle w:val="Strong"/>
        </w:rPr>
        <w:t>Technology divide:</w:t>
      </w:r>
      <w:r>
        <w:t xml:space="preserve"> Unequal access to digital tools risks widening disparities between urban and rural schools.</w:t>
      </w:r>
    </w:p>
    <w:p w14:paraId="7C57EA78" w14:textId="77777777" w:rsidR="002B5F0D" w:rsidRDefault="002B5F0D">
      <w:pPr>
        <w:pStyle w:val="Heading3"/>
        <w:rPr>
          <w:rFonts w:eastAsia="Times New Roman"/>
        </w:rPr>
      </w:pPr>
      <w:r>
        <w:rPr>
          <w:rFonts w:eastAsia="Times New Roman"/>
        </w:rPr>
        <w:t>Strategies to Address Challenges</w:t>
      </w:r>
    </w:p>
    <w:p w14:paraId="53CAF8C6" w14:textId="77777777" w:rsidR="002B5F0D" w:rsidRDefault="002B5F0D">
      <w:pPr>
        <w:pStyle w:val="NormalWeb"/>
        <w:numPr>
          <w:ilvl w:val="0"/>
          <w:numId w:val="3"/>
        </w:numPr>
      </w:pPr>
      <w:r>
        <w:rPr>
          <w:rStyle w:val="Strong"/>
        </w:rPr>
        <w:t>Policy reforms:</w:t>
      </w:r>
      <w:r>
        <w:t xml:space="preserve"> Governments have introduced free primary education policies (e.g., Kenya, Tanzania) to expand access.</w:t>
      </w:r>
    </w:p>
    <w:p w14:paraId="2CB6B573" w14:textId="77777777" w:rsidR="002B5F0D" w:rsidRDefault="002B5F0D">
      <w:pPr>
        <w:pStyle w:val="NormalWeb"/>
        <w:numPr>
          <w:ilvl w:val="0"/>
          <w:numId w:val="3"/>
        </w:numPr>
      </w:pPr>
      <w:r>
        <w:rPr>
          <w:rStyle w:val="Strong"/>
        </w:rPr>
        <w:t>Community participation:</w:t>
      </w:r>
      <w:r>
        <w:t xml:space="preserve"> Local initiatives, NGOs, and faith-based organizations supplement state efforts.</w:t>
      </w:r>
    </w:p>
    <w:p w14:paraId="785BB75E" w14:textId="77777777" w:rsidR="002B5F0D" w:rsidRDefault="002B5F0D">
      <w:pPr>
        <w:pStyle w:val="NormalWeb"/>
        <w:numPr>
          <w:ilvl w:val="0"/>
          <w:numId w:val="3"/>
        </w:numPr>
      </w:pPr>
      <w:r>
        <w:rPr>
          <w:rStyle w:val="Strong"/>
        </w:rPr>
        <w:t>Technology integration:</w:t>
      </w:r>
      <w:r>
        <w:t xml:space="preserve"> Mobile learning, radio programs, and low-cost tablets are used to reach underserved areas.</w:t>
      </w:r>
    </w:p>
    <w:p w14:paraId="719692FF" w14:textId="77777777" w:rsidR="002B5F0D" w:rsidRDefault="002B5F0D">
      <w:pPr>
        <w:pStyle w:val="NormalWeb"/>
        <w:numPr>
          <w:ilvl w:val="0"/>
          <w:numId w:val="3"/>
        </w:numPr>
      </w:pPr>
      <w:r>
        <w:rPr>
          <w:rStyle w:val="Strong"/>
        </w:rPr>
        <w:t>International partnerships:</w:t>
      </w:r>
      <w:r>
        <w:t xml:space="preserve"> UNESCO, UNICEF, and the World Bank support teacher training, curriculum development, and infrastructure projects.</w:t>
      </w:r>
    </w:p>
    <w:p w14:paraId="78A47DA8" w14:textId="77777777" w:rsidR="008E391D" w:rsidRPr="008E391D" w:rsidRDefault="008E391D" w:rsidP="008E391D">
      <w:pPr>
        <w:pStyle w:val="ListParagraph"/>
        <w:numPr>
          <w:ilvl w:val="0"/>
          <w:numId w:val="3"/>
        </w:numPr>
        <w:divId w:val="1046686695"/>
        <w:rPr>
          <w:rFonts w:eastAsia="Times New Roman"/>
          <w:kern w:val="0"/>
          <w14:ligatures w14:val="none"/>
        </w:rPr>
      </w:pPr>
      <w:r w:rsidRPr="008E391D">
        <w:rPr>
          <w:rFonts w:eastAsia="Times New Roman"/>
        </w:rPr>
        <w:t>Message Copilot</w:t>
      </w:r>
    </w:p>
    <w:p w14:paraId="59757E41" w14:textId="4BEA284E" w:rsidR="008E391D" w:rsidRDefault="008E391D" w:rsidP="008E391D">
      <w:pPr>
        <w:pStyle w:val="ListParagraph"/>
        <w:numPr>
          <w:ilvl w:val="0"/>
          <w:numId w:val="3"/>
        </w:numPr>
        <w:divId w:val="114637848"/>
        <w:rPr>
          <w:rFonts w:eastAsia="Times New Roman"/>
        </w:rPr>
      </w:pPr>
      <w:r w:rsidRPr="008E391D">
        <w:rPr>
          <w:rFonts w:eastAsia="Times New Roman"/>
        </w:rPr>
        <w:t>Think deeper</w:t>
      </w:r>
      <w:r w:rsidR="005C1DE2">
        <w:rPr>
          <w:rFonts w:eastAsia="Times New Roman"/>
        </w:rPr>
        <w:t xml:space="preserve">    </w:t>
      </w:r>
    </w:p>
    <w:p w14:paraId="67F82FBF" w14:textId="77777777" w:rsidR="005C1DE2" w:rsidRDefault="005C1DE2" w:rsidP="005C1DE2">
      <w:pPr>
        <w:divId w:val="114637848"/>
        <w:rPr>
          <w:rFonts w:eastAsia="Times New Roman"/>
        </w:rPr>
      </w:pPr>
    </w:p>
    <w:p w14:paraId="78EEB8CD" w14:textId="77777777" w:rsidR="005C1DE2" w:rsidRDefault="005C1DE2" w:rsidP="005C1DE2">
      <w:pPr>
        <w:divId w:val="114637848"/>
        <w:rPr>
          <w:rFonts w:eastAsia="Times New Roman"/>
        </w:rPr>
      </w:pPr>
    </w:p>
    <w:p w14:paraId="5365B443" w14:textId="77777777" w:rsidR="009A129A" w:rsidRDefault="009A129A">
      <w:pPr>
        <w:pStyle w:val="Heading3"/>
        <w:divId w:val="576865967"/>
        <w:rPr>
          <w:rFonts w:eastAsia="Times New Roman"/>
        </w:rPr>
      </w:pPr>
      <w:r>
        <w:rPr>
          <w:rFonts w:eastAsia="Times New Roman"/>
        </w:rPr>
        <w:lastRenderedPageBreak/>
        <w:t>Empirical Studies</w:t>
      </w:r>
    </w:p>
    <w:p w14:paraId="4BFCD1B2" w14:textId="77777777" w:rsidR="00A752BA" w:rsidRPr="00A752BA" w:rsidRDefault="00A752BA" w:rsidP="00A752BA">
      <w:pPr>
        <w:divId w:val="576865967"/>
      </w:pPr>
    </w:p>
    <w:p w14:paraId="7FC15DAE" w14:textId="77777777" w:rsidR="009A129A" w:rsidRDefault="009A129A">
      <w:pPr>
        <w:pStyle w:val="Heading4"/>
        <w:divId w:val="576865967"/>
        <w:rPr>
          <w:rFonts w:eastAsia="Times New Roman"/>
        </w:rPr>
      </w:pPr>
      <w:r>
        <w:rPr>
          <w:rFonts w:eastAsia="Times New Roman"/>
        </w:rPr>
        <w:t>Study 1 — Expansion of Primary Education in Sub</w:t>
      </w:r>
      <w:r>
        <w:rPr>
          <w:rFonts w:eastAsia="Times New Roman"/>
        </w:rPr>
        <w:noBreakHyphen/>
        <w:t>Saharan Africa (1990s–2000s)</w:t>
      </w:r>
    </w:p>
    <w:p w14:paraId="3833D944" w14:textId="77777777" w:rsidR="009A129A" w:rsidRDefault="009A129A" w:rsidP="009A129A">
      <w:pPr>
        <w:numPr>
          <w:ilvl w:val="0"/>
          <w:numId w:val="8"/>
        </w:numPr>
        <w:spacing w:before="100" w:beforeAutospacing="1" w:after="100" w:afterAutospacing="1" w:line="240" w:lineRule="auto"/>
        <w:divId w:val="576865967"/>
        <w:rPr>
          <w:rFonts w:eastAsia="Times New Roman"/>
        </w:rPr>
      </w:pPr>
      <w:r>
        <w:rPr>
          <w:rStyle w:val="Strong"/>
          <w:rFonts w:eastAsia="Times New Roman"/>
        </w:rPr>
        <w:t>Challenge: Rapid enrollment growth led to overcrowded classrooms and strained resources</w:t>
      </w:r>
    </w:p>
    <w:p w14:paraId="3822E5B0" w14:textId="77777777" w:rsidR="009A129A" w:rsidRDefault="009A129A" w:rsidP="009A129A">
      <w:pPr>
        <w:numPr>
          <w:ilvl w:val="0"/>
          <w:numId w:val="8"/>
        </w:numPr>
        <w:spacing w:before="100" w:beforeAutospacing="1" w:after="100" w:afterAutospacing="1" w:line="240" w:lineRule="auto"/>
        <w:divId w:val="576865967"/>
        <w:rPr>
          <w:rFonts w:eastAsia="Times New Roman"/>
        </w:rPr>
      </w:pPr>
      <w:r>
        <w:rPr>
          <w:rStyle w:val="Strong"/>
          <w:rFonts w:eastAsia="Times New Roman"/>
        </w:rPr>
        <w:t>Strength: Demonstrated political commitment to universal primary education</w:t>
      </w:r>
    </w:p>
    <w:p w14:paraId="2DD25E91" w14:textId="77777777" w:rsidR="009A129A" w:rsidRDefault="009A129A" w:rsidP="009A129A">
      <w:pPr>
        <w:numPr>
          <w:ilvl w:val="0"/>
          <w:numId w:val="8"/>
        </w:numPr>
        <w:spacing w:before="100" w:beforeAutospacing="1" w:after="100" w:afterAutospacing="1" w:line="240" w:lineRule="auto"/>
        <w:divId w:val="576865967"/>
        <w:rPr>
          <w:rFonts w:eastAsia="Times New Roman"/>
        </w:rPr>
      </w:pPr>
      <w:r>
        <w:rPr>
          <w:rStyle w:val="Strong"/>
          <w:rFonts w:eastAsia="Times New Roman"/>
        </w:rPr>
        <w:t>Weakness: Quality of learning outcomes declined; literacy and numeracy remained low</w:t>
      </w:r>
    </w:p>
    <w:p w14:paraId="7A829B0B" w14:textId="77777777" w:rsidR="009A129A" w:rsidRDefault="009A129A">
      <w:pPr>
        <w:pStyle w:val="NormalWeb"/>
        <w:divId w:val="576865967"/>
      </w:pPr>
      <w:r>
        <w:rPr>
          <w:rStyle w:val="Strong"/>
        </w:rPr>
        <w:t>Context and methods.</w:t>
      </w:r>
      <w:r>
        <w:t xml:space="preserve"> In the 1990s–2000s many countries introduced free primary education (FPE) or fee abolition policies that sharply increased enrollment. Empirical analyses use administrative data, household surveys, and test scores to compare cohorts before and after reforms; quasi</w:t>
      </w:r>
      <w:r>
        <w:noBreakHyphen/>
        <w:t>experimental designs (difference</w:t>
      </w:r>
      <w:r>
        <w:noBreakHyphen/>
        <w:t>in</w:t>
      </w:r>
      <w:r>
        <w:noBreakHyphen/>
        <w:t xml:space="preserve">differences, regression discontinuity around policy timing) are common. </w:t>
      </w:r>
      <w:r>
        <w:rPr>
          <w:rStyle w:val="Strong"/>
        </w:rPr>
        <w:t>Key finding:</w:t>
      </w:r>
      <w:r>
        <w:t xml:space="preserve"> access rose quickly but system capacity did not keep pace—class sizes ballooned and per</w:t>
      </w:r>
      <w:r>
        <w:noBreakHyphen/>
        <w:t xml:space="preserve">pupil resources fell, producing measurable declines in average learning outcomes in several settings </w:t>
      </w:r>
      <w:hyperlink r:id="rId5" w:history="1">
        <w:r>
          <w:rPr>
            <w:rStyle w:val="Hyperlink"/>
          </w:rPr>
          <w:t>Open Knowledge Repository</w:t>
        </w:r>
      </w:hyperlink>
      <w:r>
        <w:t>.</w:t>
      </w:r>
    </w:p>
    <w:p w14:paraId="7F82E1F0" w14:textId="77777777" w:rsidR="009A129A" w:rsidRDefault="009A129A">
      <w:pPr>
        <w:pStyle w:val="NormalWeb"/>
        <w:divId w:val="576865967"/>
      </w:pPr>
      <w:r>
        <w:rPr>
          <w:rStyle w:val="Strong"/>
        </w:rPr>
        <w:t>Implications and nuance.</w:t>
      </w:r>
      <w:r>
        <w:t xml:space="preserve"> The study family shows that </w:t>
      </w:r>
      <w:r>
        <w:rPr>
          <w:rStyle w:val="Emphasis"/>
        </w:rPr>
        <w:t>expansion without commensurate investment in teachers, materials, and infrastructure undermines learning gains</w:t>
      </w:r>
      <w:r>
        <w:t>. Later research uses longer follow</w:t>
      </w:r>
      <w:r>
        <w:noBreakHyphen/>
        <w:t>up to show persistent teacher quality effects tied to rapid hiring after FPE reforms, indicating long</w:t>
      </w:r>
      <w:r>
        <w:noBreakHyphen/>
        <w:t xml:space="preserve">lived consequences for learning trajectories </w:t>
      </w:r>
      <w:hyperlink r:id="rId6" w:history="1">
        <w:r>
          <w:rPr>
            <w:rStyle w:val="Hyperlink"/>
          </w:rPr>
          <w:t>Open Knowledge Repository</w:t>
        </w:r>
      </w:hyperlink>
      <w:r>
        <w:t>.</w:t>
      </w:r>
    </w:p>
    <w:p w14:paraId="7996B6C5" w14:textId="77777777" w:rsidR="00A752BA" w:rsidRDefault="00A752BA">
      <w:pPr>
        <w:pStyle w:val="NormalWeb"/>
        <w:divId w:val="576865967"/>
      </w:pPr>
    </w:p>
    <w:p w14:paraId="5B22B896" w14:textId="77777777" w:rsidR="009A129A" w:rsidRDefault="009A129A">
      <w:pPr>
        <w:pStyle w:val="Heading4"/>
        <w:divId w:val="576865967"/>
        <w:rPr>
          <w:rFonts w:eastAsia="Times New Roman"/>
        </w:rPr>
      </w:pPr>
      <w:r>
        <w:rPr>
          <w:rFonts w:eastAsia="Times New Roman"/>
        </w:rPr>
        <w:t>Study 2 — Ezumah (2020): Diversity of Schooling Conditions in Africa</w:t>
      </w:r>
    </w:p>
    <w:p w14:paraId="5E102AD5" w14:textId="77777777" w:rsidR="009A129A" w:rsidRDefault="009A129A" w:rsidP="009A129A">
      <w:pPr>
        <w:numPr>
          <w:ilvl w:val="0"/>
          <w:numId w:val="9"/>
        </w:numPr>
        <w:spacing w:before="100" w:beforeAutospacing="1" w:after="100" w:afterAutospacing="1" w:line="240" w:lineRule="auto"/>
        <w:divId w:val="576865967"/>
        <w:rPr>
          <w:rFonts w:eastAsia="Times New Roman"/>
        </w:rPr>
      </w:pPr>
      <w:r>
        <w:rPr>
          <w:rStyle w:val="Strong"/>
          <w:rFonts w:eastAsia="Times New Roman"/>
        </w:rPr>
        <w:t>Challenge: Extreme heterogeneity in school environments, from under</w:t>
      </w:r>
      <w:r>
        <w:rPr>
          <w:rStyle w:val="Strong"/>
          <w:rFonts w:eastAsia="Times New Roman"/>
        </w:rPr>
        <w:noBreakHyphen/>
        <w:t>resourced rural schools to elite urban institutions</w:t>
      </w:r>
    </w:p>
    <w:p w14:paraId="2D480D24" w14:textId="77777777" w:rsidR="009A129A" w:rsidRDefault="009A129A" w:rsidP="009A129A">
      <w:pPr>
        <w:numPr>
          <w:ilvl w:val="0"/>
          <w:numId w:val="9"/>
        </w:numPr>
        <w:spacing w:before="100" w:beforeAutospacing="1" w:after="100" w:afterAutospacing="1" w:line="240" w:lineRule="auto"/>
        <w:divId w:val="576865967"/>
        <w:rPr>
          <w:rFonts w:eastAsia="Times New Roman"/>
        </w:rPr>
      </w:pPr>
      <w:r>
        <w:rPr>
          <w:rStyle w:val="Strong"/>
          <w:rFonts w:eastAsia="Times New Roman"/>
        </w:rPr>
        <w:t>Strength: Highlights the need for context</w:t>
      </w:r>
      <w:r>
        <w:rPr>
          <w:rStyle w:val="Strong"/>
          <w:rFonts w:eastAsia="Times New Roman"/>
        </w:rPr>
        <w:noBreakHyphen/>
        <w:t>sensitive policies and technology adoption</w:t>
      </w:r>
    </w:p>
    <w:p w14:paraId="402CD6CD" w14:textId="77777777" w:rsidR="009A129A" w:rsidRDefault="009A129A" w:rsidP="009A129A">
      <w:pPr>
        <w:numPr>
          <w:ilvl w:val="0"/>
          <w:numId w:val="9"/>
        </w:numPr>
        <w:spacing w:before="100" w:beforeAutospacing="1" w:after="100" w:afterAutospacing="1" w:line="240" w:lineRule="auto"/>
        <w:divId w:val="576865967"/>
        <w:rPr>
          <w:rFonts w:eastAsia="Times New Roman"/>
        </w:rPr>
      </w:pPr>
      <w:r>
        <w:rPr>
          <w:rStyle w:val="Strong"/>
          <w:rFonts w:eastAsia="Times New Roman"/>
        </w:rPr>
        <w:t>Weakness: Limited empirical data on long</w:t>
      </w:r>
      <w:r>
        <w:rPr>
          <w:rStyle w:val="Strong"/>
          <w:rFonts w:eastAsia="Times New Roman"/>
        </w:rPr>
        <w:noBreakHyphen/>
        <w:t>term impacts of technology integration; more case studies needed</w:t>
      </w:r>
    </w:p>
    <w:p w14:paraId="13393D35" w14:textId="77777777" w:rsidR="009A129A" w:rsidRDefault="009A129A">
      <w:pPr>
        <w:pStyle w:val="NormalWeb"/>
        <w:divId w:val="576865967"/>
      </w:pPr>
      <w:r>
        <w:rPr>
          <w:rStyle w:val="Strong"/>
        </w:rPr>
        <w:t>Context and methods.</w:t>
      </w:r>
      <w:r>
        <w:t xml:space="preserve"> Ezumah synthesizes case studies and program evaluations of educational technology (EdTech) projects across Sub</w:t>
      </w:r>
      <w:r>
        <w:noBreakHyphen/>
        <w:t xml:space="preserve">Saharan Africa, combining qualitative fieldwork with program monitoring data. </w:t>
      </w:r>
      <w:r>
        <w:rPr>
          <w:rStyle w:val="Strong"/>
        </w:rPr>
        <w:t>Core insight:</w:t>
      </w:r>
      <w:r>
        <w:t xml:space="preserve"> schools differ dramatically in electricity, connectivity, language use, and teacher skills; therefore, EdTech must be </w:t>
      </w:r>
      <w:r>
        <w:rPr>
          <w:rStyle w:val="Emphasis"/>
        </w:rPr>
        <w:t>designed to local constraints</w:t>
      </w:r>
      <w:r>
        <w:t xml:space="preserve"> (offline content, teacher training, culturally relevant pedagogy) rather than transplanted wholesale from high</w:t>
      </w:r>
      <w:r>
        <w:noBreakHyphen/>
        <w:t xml:space="preserve">income contexts </w:t>
      </w:r>
      <w:hyperlink r:id="rId7" w:history="1">
        <w:r>
          <w:rPr>
            <w:rStyle w:val="Hyperlink"/>
          </w:rPr>
          <w:t>ERIC</w:t>
        </w:r>
      </w:hyperlink>
      <w:r>
        <w:t>.</w:t>
      </w:r>
    </w:p>
    <w:p w14:paraId="15EDDFB7" w14:textId="77777777" w:rsidR="009A129A" w:rsidRDefault="009A129A">
      <w:pPr>
        <w:pStyle w:val="NormalWeb"/>
        <w:divId w:val="576865967"/>
      </w:pPr>
      <w:r>
        <w:rPr>
          <w:rStyle w:val="Strong"/>
        </w:rPr>
        <w:t>Strengths and limits.</w:t>
      </w:r>
      <w:r>
        <w:t xml:space="preserve"> The work’s strength is its </w:t>
      </w:r>
      <w:r>
        <w:rPr>
          <w:rStyle w:val="Emphasis"/>
        </w:rPr>
        <w:t>critical</w:t>
      </w:r>
      <w:r>
        <w:rPr>
          <w:rStyle w:val="Emphasis"/>
        </w:rPr>
        <w:noBreakHyphen/>
        <w:t>cultural lens</w:t>
      </w:r>
      <w:r>
        <w:t xml:space="preserve"> that surfaces sociotechnical mismatches and equity risks. Its weakness is empirical: many EdTech pilots lack </w:t>
      </w:r>
      <w:r>
        <w:lastRenderedPageBreak/>
        <w:t>rigorous long</w:t>
      </w:r>
      <w:r>
        <w:noBreakHyphen/>
        <w:t xml:space="preserve">term impact evaluations, so claims about sustained learning improvements remain tentative and call for randomized trials and longitudinal studies </w:t>
      </w:r>
      <w:hyperlink r:id="rId8" w:history="1">
        <w:r>
          <w:rPr>
            <w:rStyle w:val="Hyperlink"/>
          </w:rPr>
          <w:t>ERIC</w:t>
        </w:r>
      </w:hyperlink>
      <w:r>
        <w:t>.</w:t>
      </w:r>
    </w:p>
    <w:p w14:paraId="4ACA6026" w14:textId="77777777" w:rsidR="00A752BA" w:rsidRDefault="00A752BA">
      <w:pPr>
        <w:pStyle w:val="NormalWeb"/>
        <w:divId w:val="576865967"/>
      </w:pPr>
    </w:p>
    <w:p w14:paraId="32DEA136" w14:textId="77777777" w:rsidR="00A752BA" w:rsidRDefault="00A752BA">
      <w:pPr>
        <w:pStyle w:val="NormalWeb"/>
        <w:divId w:val="576865967"/>
      </w:pPr>
    </w:p>
    <w:p w14:paraId="61AC3191" w14:textId="77777777" w:rsidR="009A129A" w:rsidRDefault="009A129A">
      <w:pPr>
        <w:pStyle w:val="Heading4"/>
        <w:divId w:val="576865967"/>
        <w:rPr>
          <w:rFonts w:eastAsia="Times New Roman"/>
        </w:rPr>
      </w:pPr>
      <w:r>
        <w:rPr>
          <w:rFonts w:eastAsia="Times New Roman"/>
        </w:rPr>
        <w:t>Study 3 — Ferber, Fourie &amp; Meier zu Selhausen (2023): Education and Human Capital Development</w:t>
      </w:r>
    </w:p>
    <w:p w14:paraId="25F66976" w14:textId="77777777" w:rsidR="009A129A" w:rsidRDefault="009A129A" w:rsidP="009A129A">
      <w:pPr>
        <w:numPr>
          <w:ilvl w:val="0"/>
          <w:numId w:val="10"/>
        </w:numPr>
        <w:spacing w:before="100" w:beforeAutospacing="1" w:after="100" w:afterAutospacing="1" w:line="240" w:lineRule="auto"/>
        <w:divId w:val="576865967"/>
        <w:rPr>
          <w:rFonts w:eastAsia="Times New Roman"/>
        </w:rPr>
      </w:pPr>
      <w:r>
        <w:rPr>
          <w:rStyle w:val="Strong"/>
          <w:rFonts w:eastAsia="Times New Roman"/>
        </w:rPr>
        <w:t>Challenge: Ensuring that expanded access translates into employable skills and productivity</w:t>
      </w:r>
    </w:p>
    <w:p w14:paraId="793888EA" w14:textId="77777777" w:rsidR="009A129A" w:rsidRDefault="009A129A" w:rsidP="009A129A">
      <w:pPr>
        <w:numPr>
          <w:ilvl w:val="0"/>
          <w:numId w:val="10"/>
        </w:numPr>
        <w:spacing w:before="100" w:beforeAutospacing="1" w:after="100" w:afterAutospacing="1" w:line="240" w:lineRule="auto"/>
        <w:divId w:val="576865967"/>
        <w:rPr>
          <w:rFonts w:eastAsia="Times New Roman"/>
        </w:rPr>
      </w:pPr>
      <w:r>
        <w:rPr>
          <w:rStyle w:val="Strong"/>
          <w:rFonts w:eastAsia="Times New Roman"/>
        </w:rPr>
        <w:t>Strength: Provides evidence linking education to economic growth and social development</w:t>
      </w:r>
    </w:p>
    <w:p w14:paraId="08E969EE" w14:textId="77777777" w:rsidR="009A129A" w:rsidRDefault="009A129A" w:rsidP="009A129A">
      <w:pPr>
        <w:numPr>
          <w:ilvl w:val="0"/>
          <w:numId w:val="10"/>
        </w:numPr>
        <w:spacing w:before="100" w:beforeAutospacing="1" w:after="100" w:afterAutospacing="1" w:line="240" w:lineRule="auto"/>
        <w:divId w:val="576865967"/>
        <w:rPr>
          <w:rFonts w:eastAsia="Times New Roman"/>
        </w:rPr>
      </w:pPr>
      <w:r>
        <w:rPr>
          <w:rStyle w:val="Strong"/>
          <w:rFonts w:eastAsia="Times New Roman"/>
        </w:rPr>
        <w:t>Weakness: Focuses more on macro</w:t>
      </w:r>
      <w:r>
        <w:rPr>
          <w:rStyle w:val="Strong"/>
          <w:rFonts w:eastAsia="Times New Roman"/>
        </w:rPr>
        <w:noBreakHyphen/>
        <w:t>level outcomes; less attention to micro</w:t>
      </w:r>
      <w:r>
        <w:rPr>
          <w:rStyle w:val="Strong"/>
          <w:rFonts w:eastAsia="Times New Roman"/>
        </w:rPr>
        <w:noBreakHyphen/>
        <w:t>level classroom realities</w:t>
      </w:r>
    </w:p>
    <w:p w14:paraId="7D9178BE" w14:textId="77777777" w:rsidR="009A129A" w:rsidRDefault="009A129A">
      <w:pPr>
        <w:pStyle w:val="NormalWeb"/>
        <w:divId w:val="576865967"/>
      </w:pPr>
      <w:r>
        <w:rPr>
          <w:rStyle w:val="Strong"/>
        </w:rPr>
        <w:t>Context and methods.</w:t>
      </w:r>
      <w:r>
        <w:t xml:space="preserve"> This chapter synthesizes historical and contemporary quantitative evidence on schooling’s role in economic development, using cross</w:t>
      </w:r>
      <w:r>
        <w:noBreakHyphen/>
        <w:t xml:space="preserve">country growth regressions, cohort studies, and historical archives. </w:t>
      </w:r>
      <w:r>
        <w:rPr>
          <w:rStyle w:val="Strong"/>
        </w:rPr>
        <w:t>Key contribution:</w:t>
      </w:r>
      <w:r>
        <w:t xml:space="preserve"> it clarifies that </w:t>
      </w:r>
      <w:r>
        <w:rPr>
          <w:rStyle w:val="Emphasis"/>
        </w:rPr>
        <w:t>returns to schooling depend on learning quality and labor</w:t>
      </w:r>
      <w:r>
        <w:rPr>
          <w:rStyle w:val="Emphasis"/>
        </w:rPr>
        <w:noBreakHyphen/>
        <w:t>market alignment</w:t>
      </w:r>
      <w:r>
        <w:t xml:space="preserve">—mere years of schooling without skills yields limited productivity gains </w:t>
      </w:r>
      <w:hyperlink r:id="rId9" w:history="1">
        <w:r>
          <w:rPr>
            <w:rStyle w:val="Hyperlink"/>
          </w:rPr>
          <w:t>African Economic History Network</w:t>
        </w:r>
      </w:hyperlink>
      <w:r>
        <w:t>.</w:t>
      </w:r>
    </w:p>
    <w:p w14:paraId="50D21472" w14:textId="77777777" w:rsidR="009A129A" w:rsidRDefault="009A129A">
      <w:pPr>
        <w:pStyle w:val="NormalWeb"/>
        <w:divId w:val="576865967"/>
      </w:pPr>
      <w:r>
        <w:rPr>
          <w:rStyle w:val="Strong"/>
        </w:rPr>
        <w:t>Research gap.</w:t>
      </w:r>
      <w:r>
        <w:t xml:space="preserve"> While persuasive at the macro level, the analysis calls for micro</w:t>
      </w:r>
      <w:r>
        <w:noBreakHyphen/>
        <w:t xml:space="preserve">level studies linking classroom practices, curricula, and employer demand to individual earnings and firm productivity to close the evidence loop </w:t>
      </w:r>
      <w:hyperlink r:id="rId10" w:history="1">
        <w:r>
          <w:rPr>
            <w:rStyle w:val="Hyperlink"/>
          </w:rPr>
          <w:t>African Economic History Network</w:t>
        </w:r>
      </w:hyperlink>
      <w:r>
        <w:t>.</w:t>
      </w:r>
    </w:p>
    <w:p w14:paraId="26674A55" w14:textId="5F9F2C70" w:rsidR="009A129A" w:rsidRDefault="009A129A">
      <w:pPr>
        <w:divId w:val="576865967"/>
        <w:rPr>
          <w:rFonts w:eastAsia="Times New Roman"/>
        </w:rPr>
      </w:pPr>
    </w:p>
    <w:p w14:paraId="639B6E73" w14:textId="77777777" w:rsidR="009A129A" w:rsidRDefault="009A129A">
      <w:pPr>
        <w:pStyle w:val="NormalWeb"/>
        <w:divId w:val="576865967"/>
      </w:pPr>
      <w:r>
        <w:rPr>
          <w:rStyle w:val="Strong"/>
        </w:rPr>
        <w:t>Synthesis and research implications:</w:t>
      </w:r>
      <w:r>
        <w:t xml:space="preserve"> Collectively these studies show a shift from </w:t>
      </w:r>
      <w:r>
        <w:rPr>
          <w:rStyle w:val="Emphasis"/>
        </w:rPr>
        <w:t>access</w:t>
      </w:r>
      <w:r>
        <w:rPr>
          <w:rStyle w:val="Emphasis"/>
        </w:rPr>
        <w:noBreakHyphen/>
        <w:t>first</w:t>
      </w:r>
      <w:r>
        <w:t xml:space="preserve"> to </w:t>
      </w:r>
      <w:r>
        <w:rPr>
          <w:rStyle w:val="Emphasis"/>
        </w:rPr>
        <w:t>quality</w:t>
      </w:r>
      <w:r>
        <w:rPr>
          <w:rStyle w:val="Emphasis"/>
        </w:rPr>
        <w:noBreakHyphen/>
        <w:t>and</w:t>
      </w:r>
      <w:r>
        <w:rPr>
          <w:rStyle w:val="Emphasis"/>
        </w:rPr>
        <w:noBreakHyphen/>
        <w:t>relevance</w:t>
      </w:r>
      <w:r>
        <w:t xml:space="preserve"> priorities: policy must pair expansion with teacher investment, context</w:t>
      </w:r>
      <w:r>
        <w:noBreakHyphen/>
        <w:t xml:space="preserve">aware EdTech, and stronger measurement of learning and labor outcomes. </w:t>
      </w:r>
      <w:r>
        <w:rPr>
          <w:rStyle w:val="Strong"/>
        </w:rPr>
        <w:t>Priority actions</w:t>
      </w:r>
      <w:r>
        <w:t xml:space="preserve"> include targeted teacher professional development, offline</w:t>
      </w:r>
      <w:r>
        <w:noBreakHyphen/>
        <w:t>capable EdTech pilots with rigorous evaluation, and systems that track learning-to-work transitions.</w:t>
      </w:r>
    </w:p>
    <w:p w14:paraId="5CE92E3B" w14:textId="77777777" w:rsidR="009A129A" w:rsidRDefault="009A129A">
      <w:pPr>
        <w:pStyle w:val="NormalWeb"/>
        <w:divId w:val="576865967"/>
      </w:pPr>
      <w:r>
        <w:t xml:space="preserve">Would you like a deeper dive into </w:t>
      </w:r>
      <w:r>
        <w:rPr>
          <w:rStyle w:val="Strong"/>
        </w:rPr>
        <w:t>policy interventions that improved learning outcomes</w:t>
      </w:r>
      <w:r>
        <w:t xml:space="preserve"> or </w:t>
      </w:r>
      <w:r>
        <w:rPr>
          <w:rStyle w:val="Strong"/>
        </w:rPr>
        <w:t>methods for evaluating EdTech pilots in low</w:t>
      </w:r>
      <w:r>
        <w:rPr>
          <w:rStyle w:val="Strong"/>
        </w:rPr>
        <w:noBreakHyphen/>
        <w:t>resource schools</w:t>
      </w:r>
      <w:r>
        <w:t>?</w:t>
      </w:r>
    </w:p>
    <w:p w14:paraId="44D3DB8F" w14:textId="77777777" w:rsidR="002B5F0D" w:rsidRDefault="002B5F0D" w:rsidP="009A129A">
      <w:pPr>
        <w:divId w:val="114637848"/>
      </w:pPr>
    </w:p>
    <w:sectPr w:rsidR="002B5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21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881AA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E125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507C6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A678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D79C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762D3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586D5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C47BD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E80E6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0412172">
    <w:abstractNumId w:val="6"/>
  </w:num>
  <w:num w:numId="2" w16cid:durableId="1603486568">
    <w:abstractNumId w:val="0"/>
  </w:num>
  <w:num w:numId="3" w16cid:durableId="744301250">
    <w:abstractNumId w:val="4"/>
  </w:num>
  <w:num w:numId="4" w16cid:durableId="635381619">
    <w:abstractNumId w:val="2"/>
  </w:num>
  <w:num w:numId="5" w16cid:durableId="599873824">
    <w:abstractNumId w:val="3"/>
  </w:num>
  <w:num w:numId="6" w16cid:durableId="1126778615">
    <w:abstractNumId w:val="9"/>
  </w:num>
  <w:num w:numId="7" w16cid:durableId="206262129">
    <w:abstractNumId w:val="1"/>
  </w:num>
  <w:num w:numId="8" w16cid:durableId="15695578">
    <w:abstractNumId w:val="7"/>
  </w:num>
  <w:num w:numId="9" w16cid:durableId="1435394877">
    <w:abstractNumId w:val="5"/>
  </w:num>
  <w:num w:numId="10" w16cid:durableId="19410667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F0D"/>
    <w:rsid w:val="002B5F0D"/>
    <w:rsid w:val="003E2B78"/>
    <w:rsid w:val="005C1DE2"/>
    <w:rsid w:val="008E391D"/>
    <w:rsid w:val="0094665C"/>
    <w:rsid w:val="009A129A"/>
    <w:rsid w:val="009C2ED1"/>
    <w:rsid w:val="00A752BA"/>
    <w:rsid w:val="00C87088"/>
    <w:rsid w:val="00DA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E832F"/>
  <w15:chartTrackingRefBased/>
  <w15:docId w15:val="{24F8E163-D57E-7E49-A0D2-DF184727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5F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B5F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B5F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B5F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5F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5F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5F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5F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5F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5F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5F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5F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5F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5F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5F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5F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5F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5F0D"/>
    <w:rPr>
      <w:rFonts w:eastAsiaTheme="majorEastAsia" w:cstheme="majorBidi"/>
      <w:color w:val="272727" w:themeColor="text1" w:themeTint="D8"/>
    </w:rPr>
  </w:style>
  <w:style w:type="paragraph" w:styleId="Title">
    <w:name w:val="Title"/>
    <w:basedOn w:val="Normal"/>
    <w:next w:val="Normal"/>
    <w:link w:val="TitleChar"/>
    <w:uiPriority w:val="10"/>
    <w:qFormat/>
    <w:rsid w:val="002B5F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5F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5F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5F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5F0D"/>
    <w:pPr>
      <w:spacing w:before="160"/>
      <w:jc w:val="center"/>
    </w:pPr>
    <w:rPr>
      <w:i/>
      <w:iCs/>
      <w:color w:val="404040" w:themeColor="text1" w:themeTint="BF"/>
    </w:rPr>
  </w:style>
  <w:style w:type="character" w:customStyle="1" w:styleId="QuoteChar">
    <w:name w:val="Quote Char"/>
    <w:basedOn w:val="DefaultParagraphFont"/>
    <w:link w:val="Quote"/>
    <w:uiPriority w:val="29"/>
    <w:rsid w:val="002B5F0D"/>
    <w:rPr>
      <w:i/>
      <w:iCs/>
      <w:color w:val="404040" w:themeColor="text1" w:themeTint="BF"/>
    </w:rPr>
  </w:style>
  <w:style w:type="paragraph" w:styleId="ListParagraph">
    <w:name w:val="List Paragraph"/>
    <w:basedOn w:val="Normal"/>
    <w:uiPriority w:val="34"/>
    <w:qFormat/>
    <w:rsid w:val="002B5F0D"/>
    <w:pPr>
      <w:ind w:left="720"/>
      <w:contextualSpacing/>
    </w:pPr>
  </w:style>
  <w:style w:type="character" w:styleId="IntenseEmphasis">
    <w:name w:val="Intense Emphasis"/>
    <w:basedOn w:val="DefaultParagraphFont"/>
    <w:uiPriority w:val="21"/>
    <w:qFormat/>
    <w:rsid w:val="002B5F0D"/>
    <w:rPr>
      <w:i/>
      <w:iCs/>
      <w:color w:val="0F4761" w:themeColor="accent1" w:themeShade="BF"/>
    </w:rPr>
  </w:style>
  <w:style w:type="paragraph" w:styleId="IntenseQuote">
    <w:name w:val="Intense Quote"/>
    <w:basedOn w:val="Normal"/>
    <w:next w:val="Normal"/>
    <w:link w:val="IntenseQuoteChar"/>
    <w:uiPriority w:val="30"/>
    <w:qFormat/>
    <w:rsid w:val="002B5F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5F0D"/>
    <w:rPr>
      <w:i/>
      <w:iCs/>
      <w:color w:val="0F4761" w:themeColor="accent1" w:themeShade="BF"/>
    </w:rPr>
  </w:style>
  <w:style w:type="character" w:styleId="IntenseReference">
    <w:name w:val="Intense Reference"/>
    <w:basedOn w:val="DefaultParagraphFont"/>
    <w:uiPriority w:val="32"/>
    <w:qFormat/>
    <w:rsid w:val="002B5F0D"/>
    <w:rPr>
      <w:b/>
      <w:bCs/>
      <w:smallCaps/>
      <w:color w:val="0F4761" w:themeColor="accent1" w:themeShade="BF"/>
      <w:spacing w:val="5"/>
    </w:rPr>
  </w:style>
  <w:style w:type="paragraph" w:styleId="NormalWeb">
    <w:name w:val="Normal (Web)"/>
    <w:basedOn w:val="Normal"/>
    <w:uiPriority w:val="99"/>
    <w:semiHidden/>
    <w:unhideWhenUsed/>
    <w:rsid w:val="002B5F0D"/>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2B5F0D"/>
    <w:rPr>
      <w:b/>
      <w:bCs/>
    </w:rPr>
  </w:style>
  <w:style w:type="character" w:styleId="Emphasis">
    <w:name w:val="Emphasis"/>
    <w:basedOn w:val="DefaultParagraphFont"/>
    <w:uiPriority w:val="20"/>
    <w:qFormat/>
    <w:rsid w:val="009A129A"/>
    <w:rPr>
      <w:i/>
      <w:iCs/>
    </w:rPr>
  </w:style>
  <w:style w:type="character" w:styleId="Hyperlink">
    <w:name w:val="Hyperlink"/>
    <w:basedOn w:val="DefaultParagraphFont"/>
    <w:uiPriority w:val="99"/>
    <w:semiHidden/>
    <w:unhideWhenUsed/>
    <w:rsid w:val="009A12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05644">
      <w:bodyDiv w:val="1"/>
      <w:marLeft w:val="0"/>
      <w:marRight w:val="0"/>
      <w:marTop w:val="0"/>
      <w:marBottom w:val="0"/>
      <w:divBdr>
        <w:top w:val="none" w:sz="0" w:space="0" w:color="auto"/>
        <w:left w:val="none" w:sz="0" w:space="0" w:color="auto"/>
        <w:bottom w:val="none" w:sz="0" w:space="0" w:color="auto"/>
        <w:right w:val="none" w:sz="0" w:space="0" w:color="auto"/>
      </w:divBdr>
      <w:divsChild>
        <w:div w:id="1314987294">
          <w:marLeft w:val="0"/>
          <w:marRight w:val="0"/>
          <w:marTop w:val="0"/>
          <w:marBottom w:val="0"/>
          <w:divBdr>
            <w:top w:val="none" w:sz="0" w:space="0" w:color="auto"/>
            <w:left w:val="none" w:sz="0" w:space="0" w:color="auto"/>
            <w:bottom w:val="none" w:sz="0" w:space="0" w:color="auto"/>
            <w:right w:val="none" w:sz="0" w:space="0" w:color="auto"/>
          </w:divBdr>
          <w:divsChild>
            <w:div w:id="1795560435">
              <w:marLeft w:val="0"/>
              <w:marRight w:val="0"/>
              <w:marTop w:val="0"/>
              <w:marBottom w:val="0"/>
              <w:divBdr>
                <w:top w:val="none" w:sz="0" w:space="0" w:color="auto"/>
                <w:left w:val="none" w:sz="0" w:space="0" w:color="auto"/>
                <w:bottom w:val="none" w:sz="0" w:space="0" w:color="auto"/>
                <w:right w:val="none" w:sz="0" w:space="0" w:color="auto"/>
              </w:divBdr>
              <w:divsChild>
                <w:div w:id="1888297425">
                  <w:marLeft w:val="0"/>
                  <w:marRight w:val="0"/>
                  <w:marTop w:val="0"/>
                  <w:marBottom w:val="0"/>
                  <w:divBdr>
                    <w:top w:val="none" w:sz="0" w:space="0" w:color="auto"/>
                    <w:left w:val="none" w:sz="0" w:space="0" w:color="auto"/>
                    <w:bottom w:val="none" w:sz="0" w:space="0" w:color="auto"/>
                    <w:right w:val="none" w:sz="0" w:space="0" w:color="auto"/>
                  </w:divBdr>
                  <w:divsChild>
                    <w:div w:id="929000312">
                      <w:marLeft w:val="0"/>
                      <w:marRight w:val="0"/>
                      <w:marTop w:val="0"/>
                      <w:marBottom w:val="0"/>
                      <w:divBdr>
                        <w:top w:val="none" w:sz="0" w:space="0" w:color="auto"/>
                        <w:left w:val="none" w:sz="0" w:space="0" w:color="auto"/>
                        <w:bottom w:val="none" w:sz="0" w:space="0" w:color="auto"/>
                        <w:right w:val="none" w:sz="0" w:space="0" w:color="auto"/>
                      </w:divBdr>
                      <w:divsChild>
                        <w:div w:id="764570122">
                          <w:marLeft w:val="0"/>
                          <w:marRight w:val="0"/>
                          <w:marTop w:val="0"/>
                          <w:marBottom w:val="0"/>
                          <w:divBdr>
                            <w:top w:val="none" w:sz="0" w:space="0" w:color="auto"/>
                            <w:left w:val="none" w:sz="0" w:space="0" w:color="auto"/>
                            <w:bottom w:val="none" w:sz="0" w:space="0" w:color="auto"/>
                            <w:right w:val="none" w:sz="0" w:space="0" w:color="auto"/>
                          </w:divBdr>
                          <w:divsChild>
                            <w:div w:id="1565289234">
                              <w:marLeft w:val="0"/>
                              <w:marRight w:val="0"/>
                              <w:marTop w:val="0"/>
                              <w:marBottom w:val="0"/>
                              <w:divBdr>
                                <w:top w:val="none" w:sz="0" w:space="0" w:color="auto"/>
                                <w:left w:val="none" w:sz="0" w:space="0" w:color="auto"/>
                                <w:bottom w:val="none" w:sz="0" w:space="0" w:color="auto"/>
                                <w:right w:val="none" w:sz="0" w:space="0" w:color="auto"/>
                              </w:divBdr>
                              <w:divsChild>
                                <w:div w:id="1912496541">
                                  <w:marLeft w:val="0"/>
                                  <w:marRight w:val="0"/>
                                  <w:marTop w:val="0"/>
                                  <w:marBottom w:val="0"/>
                                  <w:divBdr>
                                    <w:top w:val="none" w:sz="0" w:space="0" w:color="auto"/>
                                    <w:left w:val="none" w:sz="0" w:space="0" w:color="auto"/>
                                    <w:bottom w:val="none" w:sz="0" w:space="0" w:color="auto"/>
                                    <w:right w:val="none" w:sz="0" w:space="0" w:color="auto"/>
                                  </w:divBdr>
                                  <w:divsChild>
                                    <w:div w:id="1577469216">
                                      <w:marLeft w:val="0"/>
                                      <w:marRight w:val="0"/>
                                      <w:marTop w:val="0"/>
                                      <w:marBottom w:val="0"/>
                                      <w:divBdr>
                                        <w:top w:val="none" w:sz="0" w:space="0" w:color="auto"/>
                                        <w:left w:val="none" w:sz="0" w:space="0" w:color="auto"/>
                                        <w:bottom w:val="none" w:sz="0" w:space="0" w:color="auto"/>
                                        <w:right w:val="none" w:sz="0" w:space="0" w:color="auto"/>
                                      </w:divBdr>
                                      <w:divsChild>
                                        <w:div w:id="555434411">
                                          <w:marLeft w:val="0"/>
                                          <w:marRight w:val="0"/>
                                          <w:marTop w:val="0"/>
                                          <w:marBottom w:val="0"/>
                                          <w:divBdr>
                                            <w:top w:val="none" w:sz="0" w:space="0" w:color="auto"/>
                                            <w:left w:val="none" w:sz="0" w:space="0" w:color="auto"/>
                                            <w:bottom w:val="none" w:sz="0" w:space="0" w:color="auto"/>
                                            <w:right w:val="none" w:sz="0" w:space="0" w:color="auto"/>
                                          </w:divBdr>
                                          <w:divsChild>
                                            <w:div w:id="594679180">
                                              <w:marLeft w:val="0"/>
                                              <w:marRight w:val="0"/>
                                              <w:marTop w:val="0"/>
                                              <w:marBottom w:val="0"/>
                                              <w:divBdr>
                                                <w:top w:val="none" w:sz="0" w:space="0" w:color="auto"/>
                                                <w:left w:val="none" w:sz="0" w:space="0" w:color="auto"/>
                                                <w:bottom w:val="none" w:sz="0" w:space="0" w:color="auto"/>
                                                <w:right w:val="none" w:sz="0" w:space="0" w:color="auto"/>
                                              </w:divBdr>
                                              <w:divsChild>
                                                <w:div w:id="1204440317">
                                                  <w:marLeft w:val="0"/>
                                                  <w:marRight w:val="0"/>
                                                  <w:marTop w:val="0"/>
                                                  <w:marBottom w:val="0"/>
                                                  <w:divBdr>
                                                    <w:top w:val="none" w:sz="0" w:space="0" w:color="auto"/>
                                                    <w:left w:val="none" w:sz="0" w:space="0" w:color="auto"/>
                                                    <w:bottom w:val="none" w:sz="0" w:space="0" w:color="auto"/>
                                                    <w:right w:val="none" w:sz="0" w:space="0" w:color="auto"/>
                                                  </w:divBdr>
                                                  <w:divsChild>
                                                    <w:div w:id="122777219">
                                                      <w:marLeft w:val="0"/>
                                                      <w:marRight w:val="0"/>
                                                      <w:marTop w:val="0"/>
                                                      <w:marBottom w:val="0"/>
                                                      <w:divBdr>
                                                        <w:top w:val="none" w:sz="0" w:space="0" w:color="auto"/>
                                                        <w:left w:val="none" w:sz="0" w:space="0" w:color="auto"/>
                                                        <w:bottom w:val="none" w:sz="0" w:space="0" w:color="auto"/>
                                                        <w:right w:val="none" w:sz="0" w:space="0" w:color="auto"/>
                                                      </w:divBdr>
                                                      <w:divsChild>
                                                        <w:div w:id="1369722358">
                                                          <w:marLeft w:val="0"/>
                                                          <w:marRight w:val="0"/>
                                                          <w:marTop w:val="0"/>
                                                          <w:marBottom w:val="0"/>
                                                          <w:divBdr>
                                                            <w:top w:val="none" w:sz="0" w:space="0" w:color="auto"/>
                                                            <w:left w:val="none" w:sz="0" w:space="0" w:color="auto"/>
                                                            <w:bottom w:val="none" w:sz="0" w:space="0" w:color="auto"/>
                                                            <w:right w:val="none" w:sz="0" w:space="0" w:color="auto"/>
                                                          </w:divBdr>
                                                          <w:divsChild>
                                                            <w:div w:id="1977447120">
                                                              <w:marLeft w:val="0"/>
                                                              <w:marRight w:val="0"/>
                                                              <w:marTop w:val="0"/>
                                                              <w:marBottom w:val="0"/>
                                                              <w:divBdr>
                                                                <w:top w:val="none" w:sz="0" w:space="0" w:color="auto"/>
                                                                <w:left w:val="none" w:sz="0" w:space="0" w:color="auto"/>
                                                                <w:bottom w:val="none" w:sz="0" w:space="0" w:color="auto"/>
                                                                <w:right w:val="none" w:sz="0" w:space="0" w:color="auto"/>
                                                              </w:divBdr>
                                                              <w:divsChild>
                                                                <w:div w:id="1871527840">
                                                                  <w:marLeft w:val="0"/>
                                                                  <w:marRight w:val="0"/>
                                                                  <w:marTop w:val="0"/>
                                                                  <w:marBottom w:val="0"/>
                                                                  <w:divBdr>
                                                                    <w:top w:val="none" w:sz="0" w:space="0" w:color="auto"/>
                                                                    <w:left w:val="none" w:sz="0" w:space="0" w:color="auto"/>
                                                                    <w:bottom w:val="none" w:sz="0" w:space="0" w:color="auto"/>
                                                                    <w:right w:val="none" w:sz="0" w:space="0" w:color="auto"/>
                                                                  </w:divBdr>
                                                                  <w:divsChild>
                                                                    <w:div w:id="1653482581">
                                                                      <w:marLeft w:val="0"/>
                                                                      <w:marRight w:val="0"/>
                                                                      <w:marTop w:val="0"/>
                                                                      <w:marBottom w:val="0"/>
                                                                      <w:divBdr>
                                                                        <w:top w:val="none" w:sz="0" w:space="0" w:color="auto"/>
                                                                        <w:left w:val="none" w:sz="0" w:space="0" w:color="auto"/>
                                                                        <w:bottom w:val="none" w:sz="0" w:space="0" w:color="auto"/>
                                                                        <w:right w:val="none" w:sz="0" w:space="0" w:color="auto"/>
                                                                      </w:divBdr>
                                                                      <w:divsChild>
                                                                        <w:div w:id="1091971758">
                                                                          <w:marLeft w:val="0"/>
                                                                          <w:marRight w:val="0"/>
                                                                          <w:marTop w:val="0"/>
                                                                          <w:marBottom w:val="0"/>
                                                                          <w:divBdr>
                                                                            <w:top w:val="none" w:sz="0" w:space="0" w:color="auto"/>
                                                                            <w:left w:val="none" w:sz="0" w:space="0" w:color="auto"/>
                                                                            <w:bottom w:val="none" w:sz="0" w:space="0" w:color="auto"/>
                                                                            <w:right w:val="none" w:sz="0" w:space="0" w:color="auto"/>
                                                                          </w:divBdr>
                                                                          <w:divsChild>
                                                                            <w:div w:id="1245531033">
                                                                              <w:marLeft w:val="0"/>
                                                                              <w:marRight w:val="0"/>
                                                                              <w:marTop w:val="0"/>
                                                                              <w:marBottom w:val="0"/>
                                                                              <w:divBdr>
                                                                                <w:top w:val="none" w:sz="0" w:space="0" w:color="auto"/>
                                                                                <w:left w:val="none" w:sz="0" w:space="0" w:color="auto"/>
                                                                                <w:bottom w:val="none" w:sz="0" w:space="0" w:color="auto"/>
                                                                                <w:right w:val="none" w:sz="0" w:space="0" w:color="auto"/>
                                                                              </w:divBdr>
                                                                              <w:divsChild>
                                                                                <w:div w:id="10466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3175911">
                                                          <w:marLeft w:val="0"/>
                                                          <w:marRight w:val="0"/>
                                                          <w:marTop w:val="0"/>
                                                          <w:marBottom w:val="0"/>
                                                          <w:divBdr>
                                                            <w:top w:val="none" w:sz="0" w:space="0" w:color="auto"/>
                                                            <w:left w:val="none" w:sz="0" w:space="0" w:color="auto"/>
                                                            <w:bottom w:val="none" w:sz="0" w:space="0" w:color="auto"/>
                                                            <w:right w:val="none" w:sz="0" w:space="0" w:color="auto"/>
                                                          </w:divBdr>
                                                          <w:divsChild>
                                                            <w:div w:id="2134984636">
                                                              <w:marLeft w:val="0"/>
                                                              <w:marRight w:val="0"/>
                                                              <w:marTop w:val="0"/>
                                                              <w:marBottom w:val="0"/>
                                                              <w:divBdr>
                                                                <w:top w:val="none" w:sz="0" w:space="0" w:color="auto"/>
                                                                <w:left w:val="none" w:sz="0" w:space="0" w:color="auto"/>
                                                                <w:bottom w:val="none" w:sz="0" w:space="0" w:color="auto"/>
                                                                <w:right w:val="none" w:sz="0" w:space="0" w:color="auto"/>
                                                              </w:divBdr>
                                                              <w:divsChild>
                                                                <w:div w:id="114637848">
                                                                  <w:marLeft w:val="0"/>
                                                                  <w:marRight w:val="0"/>
                                                                  <w:marTop w:val="0"/>
                                                                  <w:marBottom w:val="0"/>
                                                                  <w:divBdr>
                                                                    <w:top w:val="none" w:sz="0" w:space="0" w:color="auto"/>
                                                                    <w:left w:val="none" w:sz="0" w:space="0" w:color="auto"/>
                                                                    <w:bottom w:val="none" w:sz="0" w:space="0" w:color="auto"/>
                                                                    <w:right w:val="none" w:sz="0" w:space="0" w:color="auto"/>
                                                                  </w:divBdr>
                                                                  <w:divsChild>
                                                                    <w:div w:id="57686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c.ed.gov/?id=ED625358" TargetMode="External" /><Relationship Id="rId3" Type="http://schemas.openxmlformats.org/officeDocument/2006/relationships/settings" Target="settings.xml" /><Relationship Id="rId7" Type="http://schemas.openxmlformats.org/officeDocument/2006/relationships/hyperlink" Target="https://eric.ed.gov/?id=ED625358"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https://openknowledge.worldbank.org/bitstreams/cc46d02f-e32c-40dd-a511-c98c85a3436c/download" TargetMode="External" /><Relationship Id="rId11" Type="http://schemas.openxmlformats.org/officeDocument/2006/relationships/fontTable" Target="fontTable.xml" /><Relationship Id="rId5" Type="http://schemas.openxmlformats.org/officeDocument/2006/relationships/hyperlink" Target="https://openknowledge.worldbank.org/bitstreams/cc46d02f-e32c-40dd-a511-c98c85a3436c/download" TargetMode="External" /><Relationship Id="rId10" Type="http://schemas.openxmlformats.org/officeDocument/2006/relationships/hyperlink" Target="https://www.aehnetwork.org/textbook/the-rise-of-education-in-africa/" TargetMode="External" /><Relationship Id="rId4" Type="http://schemas.openxmlformats.org/officeDocument/2006/relationships/webSettings" Target="webSettings.xml" /><Relationship Id="rId9" Type="http://schemas.openxmlformats.org/officeDocument/2006/relationships/hyperlink" Target="https://www.aehnetwork.org/textbook/the-rise-of-education-in-afri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958</Words>
  <Characters>5461</Characters>
  <Application>Microsoft Office Word</Application>
  <DocSecurity>0</DocSecurity>
  <Lines>45</Lines>
  <Paragraphs>12</Paragraphs>
  <ScaleCrop>false</ScaleCrop>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Keneth Kalinga</dc:creator>
  <cp:keywords/>
  <dc:description/>
  <cp:lastModifiedBy>Keneth Kalinga</cp:lastModifiedBy>
  <cp:revision>2</cp:revision>
  <dcterms:created xsi:type="dcterms:W3CDTF">2025-12-18T10:52:00Z</dcterms:created>
  <dcterms:modified xsi:type="dcterms:W3CDTF">2025-12-18T10:52:00Z</dcterms:modified>
</cp:coreProperties>
</file>